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B23C" w14:textId="77777777" w:rsidR="00E251FC" w:rsidRPr="00002608" w:rsidRDefault="00870E12" w:rsidP="00E251FC">
      <w:pPr>
        <w:jc w:val="both"/>
        <w:rPr>
          <w:b/>
          <w:lang w:val="en-AU"/>
        </w:rPr>
      </w:pPr>
      <w:r>
        <w:rPr>
          <w:b/>
          <w:lang w:val="en-AU"/>
        </w:rPr>
        <w:t xml:space="preserve">Supplementary Information – </w:t>
      </w:r>
      <w:r w:rsidR="0062444D">
        <w:rPr>
          <w:b/>
          <w:lang w:val="en-AU"/>
        </w:rPr>
        <w:t xml:space="preserve">Single-grain </w:t>
      </w:r>
      <w:r>
        <w:rPr>
          <w:b/>
          <w:lang w:val="en-AU"/>
        </w:rPr>
        <w:t>OSL d</w:t>
      </w:r>
      <w:r w:rsidR="00E251FC" w:rsidRPr="00002608">
        <w:rPr>
          <w:b/>
          <w:lang w:val="en-AU"/>
        </w:rPr>
        <w:t>ating</w:t>
      </w:r>
      <w:r>
        <w:rPr>
          <w:b/>
          <w:lang w:val="en-AU"/>
        </w:rPr>
        <w:t xml:space="preserve"> methods</w:t>
      </w:r>
    </w:p>
    <w:p w14:paraId="419D9C3C" w14:textId="15062B73" w:rsidR="009F3B5A" w:rsidRDefault="009E5CFF" w:rsidP="00045FED">
      <w:pPr>
        <w:jc w:val="both"/>
      </w:pPr>
      <w:r w:rsidRPr="009E5CFF">
        <w:rPr>
          <w:lang w:val="en-AU"/>
        </w:rPr>
        <w:t>Single-grain D</w:t>
      </w:r>
      <w:r w:rsidRPr="009E5CFF">
        <w:rPr>
          <w:vertAlign w:val="subscript"/>
          <w:lang w:val="en-AU"/>
        </w:rPr>
        <w:t>e</w:t>
      </w:r>
      <w:r w:rsidRPr="009E5CFF">
        <w:rPr>
          <w:lang w:val="en-AU"/>
        </w:rPr>
        <w:t xml:space="preserve"> measurements were made using </w:t>
      </w:r>
      <w:r>
        <w:rPr>
          <w:lang w:val="en-AU"/>
        </w:rPr>
        <w:t xml:space="preserve">two </w:t>
      </w:r>
      <w:proofErr w:type="spellStart"/>
      <w:r w:rsidRPr="009E5CFF">
        <w:rPr>
          <w:bCs/>
          <w:lang w:val="en-AU"/>
        </w:rPr>
        <w:t>Risø</w:t>
      </w:r>
      <w:proofErr w:type="spellEnd"/>
      <w:r w:rsidRPr="009E5CFF">
        <w:rPr>
          <w:bCs/>
          <w:lang w:val="en-AU"/>
        </w:rPr>
        <w:t xml:space="preserve"> TL-DA-20 reader</w:t>
      </w:r>
      <w:r>
        <w:rPr>
          <w:bCs/>
          <w:lang w:val="en-AU"/>
        </w:rPr>
        <w:t>s</w:t>
      </w:r>
      <w:r w:rsidRPr="009E5CFF">
        <w:rPr>
          <w:bCs/>
          <w:lang w:val="en-AU"/>
        </w:rPr>
        <w:t xml:space="preserve"> </w:t>
      </w:r>
      <w:r w:rsidR="003C278D">
        <w:rPr>
          <w:bCs/>
          <w:lang w:val="en-AU"/>
        </w:rPr>
        <w:t>(“</w:t>
      </w:r>
      <w:proofErr w:type="spellStart"/>
      <w:r w:rsidR="003C278D">
        <w:rPr>
          <w:bCs/>
          <w:lang w:val="en-AU"/>
        </w:rPr>
        <w:t>Riso</w:t>
      </w:r>
      <w:proofErr w:type="spellEnd"/>
      <w:r w:rsidR="003C278D">
        <w:rPr>
          <w:bCs/>
          <w:lang w:val="en-AU"/>
        </w:rPr>
        <w:t xml:space="preserve"> 2” and “</w:t>
      </w:r>
      <w:proofErr w:type="spellStart"/>
      <w:r w:rsidR="003C278D">
        <w:rPr>
          <w:bCs/>
          <w:lang w:val="en-AU"/>
        </w:rPr>
        <w:t>Riso</w:t>
      </w:r>
      <w:proofErr w:type="spellEnd"/>
      <w:r w:rsidR="003C278D">
        <w:rPr>
          <w:bCs/>
          <w:lang w:val="en-AU"/>
        </w:rPr>
        <w:t xml:space="preserve"> 7”) </w:t>
      </w:r>
      <w:r w:rsidRPr="009E5CFF">
        <w:rPr>
          <w:bCs/>
          <w:lang w:val="en-AU"/>
        </w:rPr>
        <w:t>equipped with blue LED units (</w:t>
      </w:r>
      <w:proofErr w:type="spellStart"/>
      <w:r w:rsidR="003C278D">
        <w:rPr>
          <w:bCs/>
          <w:lang w:val="en-AU"/>
        </w:rPr>
        <w:t>Riso</w:t>
      </w:r>
      <w:proofErr w:type="spellEnd"/>
      <w:r w:rsidR="003C278D">
        <w:rPr>
          <w:bCs/>
          <w:lang w:val="en-AU"/>
        </w:rPr>
        <w:t xml:space="preserve"> 2 = </w:t>
      </w:r>
      <w:r w:rsidRPr="009E5CFF">
        <w:rPr>
          <w:bCs/>
          <w:lang w:val="en-AU"/>
        </w:rPr>
        <w:t>470</w:t>
      </w:r>
      <w:r w:rsidR="00CA131B">
        <w:rPr>
          <w:bCs/>
          <w:lang w:val="en-AU"/>
        </w:rPr>
        <w:t xml:space="preserve"> </w:t>
      </w:r>
      <w:r w:rsidRPr="009E5CFF">
        <w:rPr>
          <w:bCs/>
          <w:lang w:val="en-AU"/>
        </w:rPr>
        <w:t xml:space="preserve">nm, maximum power of </w:t>
      </w:r>
      <w:r w:rsidRPr="00CA131B">
        <w:rPr>
          <w:bCs/>
          <w:lang w:val="en-AU"/>
        </w:rPr>
        <w:t>52</w:t>
      </w:r>
      <w:r w:rsidR="003B3474" w:rsidRPr="003B3474">
        <w:rPr>
          <w:bCs/>
        </w:rPr>
        <w:t xml:space="preserve"> </w:t>
      </w:r>
      <w:proofErr w:type="spellStart"/>
      <w:r w:rsidR="003B3474" w:rsidRPr="003C278D">
        <w:rPr>
          <w:bCs/>
        </w:rPr>
        <w:t>mW</w:t>
      </w:r>
      <w:proofErr w:type="spellEnd"/>
      <w:r w:rsidR="003B3474" w:rsidRPr="003C278D">
        <w:rPr>
          <w:bCs/>
        </w:rPr>
        <w:t>/cm</w:t>
      </w:r>
      <w:r w:rsidR="003B3474" w:rsidRPr="003C278D">
        <w:rPr>
          <w:bCs/>
          <w:vertAlign w:val="superscript"/>
        </w:rPr>
        <w:t>2</w:t>
      </w:r>
      <w:r w:rsidR="003C278D">
        <w:rPr>
          <w:bCs/>
          <w:lang w:val="en-AU"/>
        </w:rPr>
        <w:t xml:space="preserve">; </w:t>
      </w:r>
      <w:proofErr w:type="spellStart"/>
      <w:r w:rsidR="003C278D">
        <w:rPr>
          <w:bCs/>
          <w:lang w:val="en-AU"/>
        </w:rPr>
        <w:t>Riso</w:t>
      </w:r>
      <w:proofErr w:type="spellEnd"/>
      <w:r w:rsidR="003C278D">
        <w:rPr>
          <w:bCs/>
          <w:lang w:val="en-AU"/>
        </w:rPr>
        <w:t xml:space="preserve"> 7</w:t>
      </w:r>
      <w:r w:rsidRPr="009E5CFF">
        <w:rPr>
          <w:bCs/>
          <w:lang w:val="en-AU"/>
        </w:rPr>
        <w:t xml:space="preserve"> </w:t>
      </w:r>
      <w:r w:rsidR="003C278D">
        <w:rPr>
          <w:bCs/>
          <w:lang w:val="en-AU"/>
        </w:rPr>
        <w:t xml:space="preserve">= </w:t>
      </w:r>
      <w:r w:rsidR="003C278D" w:rsidRPr="003C278D">
        <w:rPr>
          <w:bCs/>
        </w:rPr>
        <w:t xml:space="preserve">470 nm, maximum power 102 </w:t>
      </w:r>
      <w:proofErr w:type="spellStart"/>
      <w:r w:rsidR="003C278D" w:rsidRPr="003C278D">
        <w:rPr>
          <w:bCs/>
        </w:rPr>
        <w:t>mW</w:t>
      </w:r>
      <w:proofErr w:type="spellEnd"/>
      <w:r w:rsidR="003C278D" w:rsidRPr="003C278D">
        <w:rPr>
          <w:bCs/>
        </w:rPr>
        <w:t>/cm</w:t>
      </w:r>
      <w:r w:rsidR="003C278D" w:rsidRPr="003C278D">
        <w:rPr>
          <w:bCs/>
          <w:vertAlign w:val="superscript"/>
        </w:rPr>
        <w:t>2</w:t>
      </w:r>
      <w:r w:rsidRPr="009E5CFF">
        <w:rPr>
          <w:bCs/>
          <w:lang w:val="en-AU"/>
        </w:rPr>
        <w:t>), an array of infrared LEDs (</w:t>
      </w:r>
      <w:proofErr w:type="spellStart"/>
      <w:r w:rsidR="003C278D">
        <w:rPr>
          <w:bCs/>
          <w:lang w:val="en-AU"/>
        </w:rPr>
        <w:t>Riso</w:t>
      </w:r>
      <w:proofErr w:type="spellEnd"/>
      <w:r w:rsidR="003C278D">
        <w:rPr>
          <w:bCs/>
          <w:lang w:val="en-AU"/>
        </w:rPr>
        <w:t xml:space="preserve"> 2 = </w:t>
      </w:r>
      <w:r w:rsidR="00CA131B">
        <w:rPr>
          <w:bCs/>
          <w:lang w:val="en-AU"/>
        </w:rPr>
        <w:t>peak emission 870</w:t>
      </w:r>
      <w:r w:rsidRPr="009E5CFF">
        <w:rPr>
          <w:bCs/>
          <w:lang w:val="en-AU"/>
        </w:rPr>
        <w:t xml:space="preserve"> nm, maximum power of</w:t>
      </w:r>
      <w:r>
        <w:rPr>
          <w:bCs/>
          <w:lang w:val="en-AU"/>
        </w:rPr>
        <w:t xml:space="preserve"> </w:t>
      </w:r>
      <w:r w:rsidRPr="00CA131B">
        <w:rPr>
          <w:bCs/>
          <w:lang w:val="en-AU"/>
        </w:rPr>
        <w:t>141</w:t>
      </w:r>
      <w:r w:rsidRPr="009E5CFF">
        <w:rPr>
          <w:bCs/>
          <w:lang w:val="en-AU"/>
        </w:rPr>
        <w:t xml:space="preserve"> </w:t>
      </w:r>
      <w:proofErr w:type="spellStart"/>
      <w:r w:rsidRPr="009E5CFF">
        <w:rPr>
          <w:bCs/>
          <w:lang w:val="en-AU"/>
        </w:rPr>
        <w:t>mW</w:t>
      </w:r>
      <w:proofErr w:type="spellEnd"/>
      <w:r w:rsidRPr="009E5CFF">
        <w:rPr>
          <w:bCs/>
          <w:lang w:val="en-AU"/>
        </w:rPr>
        <w:t>/cm</w:t>
      </w:r>
      <w:r w:rsidRPr="009E5CFF">
        <w:rPr>
          <w:bCs/>
          <w:vertAlign w:val="superscript"/>
          <w:lang w:val="en-AU"/>
        </w:rPr>
        <w:t>2</w:t>
      </w:r>
      <w:r w:rsidR="003C278D">
        <w:rPr>
          <w:bCs/>
          <w:lang w:val="en-AU"/>
        </w:rPr>
        <w:t xml:space="preserve">; </w:t>
      </w:r>
      <w:proofErr w:type="spellStart"/>
      <w:r w:rsidR="003C278D">
        <w:rPr>
          <w:bCs/>
          <w:lang w:val="en-AU"/>
        </w:rPr>
        <w:t>Riso</w:t>
      </w:r>
      <w:proofErr w:type="spellEnd"/>
      <w:r w:rsidR="003C278D">
        <w:rPr>
          <w:bCs/>
          <w:lang w:val="en-AU"/>
        </w:rPr>
        <w:t xml:space="preserve"> 7 = </w:t>
      </w:r>
      <w:r w:rsidR="003C278D" w:rsidRPr="009E5CFF">
        <w:rPr>
          <w:bCs/>
          <w:lang w:val="en-AU"/>
        </w:rPr>
        <w:t>peak emission</w:t>
      </w:r>
      <w:r w:rsidR="003C278D" w:rsidRPr="003C278D">
        <w:rPr>
          <w:bCs/>
        </w:rPr>
        <w:t xml:space="preserve"> 850 nm, maximum power of 340 </w:t>
      </w:r>
      <w:proofErr w:type="spellStart"/>
      <w:r w:rsidR="003C278D" w:rsidRPr="003C278D">
        <w:rPr>
          <w:bCs/>
        </w:rPr>
        <w:t>mW</w:t>
      </w:r>
      <w:proofErr w:type="spellEnd"/>
      <w:r w:rsidR="003C278D" w:rsidRPr="003C278D">
        <w:rPr>
          <w:bCs/>
        </w:rPr>
        <w:t>/cm</w:t>
      </w:r>
      <w:r w:rsidR="003C278D" w:rsidRPr="003C278D">
        <w:rPr>
          <w:bCs/>
          <w:vertAlign w:val="superscript"/>
        </w:rPr>
        <w:t>2</w:t>
      </w:r>
      <w:r w:rsidR="00CA131B">
        <w:rPr>
          <w:bCs/>
          <w:lang w:val="en-AU"/>
        </w:rPr>
        <w:t>), and</w:t>
      </w:r>
      <w:r w:rsidRPr="009E5CFF">
        <w:rPr>
          <w:bCs/>
          <w:lang w:val="en-AU"/>
        </w:rPr>
        <w:t xml:space="preserve"> 10 </w:t>
      </w:r>
      <w:proofErr w:type="spellStart"/>
      <w:r w:rsidRPr="009E5CFF">
        <w:rPr>
          <w:bCs/>
          <w:lang w:val="en-AU"/>
        </w:rPr>
        <w:t>mW</w:t>
      </w:r>
      <w:proofErr w:type="spellEnd"/>
      <w:r w:rsidRPr="009E5CFF">
        <w:rPr>
          <w:bCs/>
          <w:lang w:val="en-AU"/>
        </w:rPr>
        <w:t xml:space="preserve"> Nd:YVO</w:t>
      </w:r>
      <w:r w:rsidRPr="009E5CFF">
        <w:rPr>
          <w:bCs/>
          <w:vertAlign w:val="subscript"/>
          <w:lang w:val="en-AU"/>
        </w:rPr>
        <w:t>4</w:t>
      </w:r>
      <w:r w:rsidRPr="009E5CFF">
        <w:rPr>
          <w:bCs/>
          <w:lang w:val="en-AU"/>
        </w:rPr>
        <w:t xml:space="preserve"> single-grain laser attachment</w:t>
      </w:r>
      <w:r w:rsidR="00CA131B">
        <w:rPr>
          <w:bCs/>
          <w:lang w:val="en-AU"/>
        </w:rPr>
        <w:t>s</w:t>
      </w:r>
      <w:r w:rsidRPr="009E5CFF">
        <w:rPr>
          <w:bCs/>
          <w:lang w:val="en-AU"/>
        </w:rPr>
        <w:t xml:space="preserve"> emitting at 532 nm (maximum power of ~50 W/cm</w:t>
      </w:r>
      <w:r w:rsidRPr="009E5CFF">
        <w:rPr>
          <w:bCs/>
          <w:vertAlign w:val="superscript"/>
          <w:lang w:val="en-AU"/>
        </w:rPr>
        <w:t>2</w:t>
      </w:r>
      <w:r w:rsidR="003C278D">
        <w:rPr>
          <w:bCs/>
          <w:vertAlign w:val="superscript"/>
          <w:lang w:val="en-AU"/>
        </w:rPr>
        <w:t xml:space="preserve"> </w:t>
      </w:r>
      <w:r w:rsidR="003C278D" w:rsidRPr="003C278D">
        <w:rPr>
          <w:bCs/>
          <w:lang w:val="en-AU"/>
        </w:rPr>
        <w:t>for both readers</w:t>
      </w:r>
      <w:r w:rsidRPr="009E5CFF">
        <w:rPr>
          <w:bCs/>
          <w:lang w:val="en-AU"/>
        </w:rPr>
        <w:t xml:space="preserve">). Ultraviolet OSL signals were detected using </w:t>
      </w:r>
      <w:r w:rsidR="009830BC">
        <w:rPr>
          <w:bCs/>
          <w:lang w:val="en-AU"/>
        </w:rPr>
        <w:t xml:space="preserve">an </w:t>
      </w:r>
      <w:r w:rsidRPr="009E5CFF">
        <w:rPr>
          <w:bCs/>
          <w:lang w:val="en-AU"/>
        </w:rPr>
        <w:t xml:space="preserve">EMI 9235QA </w:t>
      </w:r>
      <w:r w:rsidR="003C278D">
        <w:rPr>
          <w:bCs/>
          <w:lang w:val="en-AU"/>
        </w:rPr>
        <w:t>(</w:t>
      </w:r>
      <w:proofErr w:type="spellStart"/>
      <w:r w:rsidR="003C278D">
        <w:rPr>
          <w:bCs/>
          <w:lang w:val="en-AU"/>
        </w:rPr>
        <w:t>Riso</w:t>
      </w:r>
      <w:proofErr w:type="spellEnd"/>
      <w:r w:rsidR="003C278D">
        <w:rPr>
          <w:bCs/>
          <w:lang w:val="en-AU"/>
        </w:rPr>
        <w:t xml:space="preserve"> 2) </w:t>
      </w:r>
      <w:r>
        <w:rPr>
          <w:bCs/>
          <w:lang w:val="en-AU"/>
        </w:rPr>
        <w:t xml:space="preserve">or </w:t>
      </w:r>
      <w:r w:rsidRPr="009E5CFF">
        <w:rPr>
          <w:bCs/>
          <w:lang w:val="en-AU"/>
        </w:rPr>
        <w:t xml:space="preserve">Electron Tubes PDM </w:t>
      </w:r>
      <w:r w:rsidRPr="009E5CFF">
        <w:rPr>
          <w:bCs/>
        </w:rPr>
        <w:t>9107B</w:t>
      </w:r>
      <w:r w:rsidRPr="009E5CFF">
        <w:rPr>
          <w:bCs/>
          <w:lang w:val="en-AU"/>
        </w:rPr>
        <w:t xml:space="preserve"> </w:t>
      </w:r>
      <w:r w:rsidR="003C278D">
        <w:rPr>
          <w:bCs/>
          <w:lang w:val="en-AU"/>
        </w:rPr>
        <w:t>(</w:t>
      </w:r>
      <w:proofErr w:type="spellStart"/>
      <w:r w:rsidR="003C278D">
        <w:rPr>
          <w:bCs/>
          <w:lang w:val="en-AU"/>
        </w:rPr>
        <w:t>Riso</w:t>
      </w:r>
      <w:proofErr w:type="spellEnd"/>
      <w:r w:rsidR="003C278D">
        <w:rPr>
          <w:bCs/>
          <w:lang w:val="en-AU"/>
        </w:rPr>
        <w:t xml:space="preserve"> 7) </w:t>
      </w:r>
      <w:r w:rsidRPr="009E5CFF">
        <w:rPr>
          <w:bCs/>
          <w:lang w:val="en-AU"/>
        </w:rPr>
        <w:t xml:space="preserve">photomultiplier tube, fitted with 7.5 mm-thick Hoya U-340 filters. </w:t>
      </w:r>
      <w:r w:rsidRPr="009E5CFF">
        <w:rPr>
          <w:lang w:val="en-AU"/>
        </w:rPr>
        <w:t xml:space="preserve">Samples were irradiated with mounted </w:t>
      </w:r>
      <w:r w:rsidRPr="009E5CFF">
        <w:rPr>
          <w:vertAlign w:val="superscript"/>
          <w:lang w:val="en-AU"/>
        </w:rPr>
        <w:t>90</w:t>
      </w:r>
      <w:r w:rsidRPr="009E5CFF">
        <w:rPr>
          <w:lang w:val="en-AU"/>
        </w:rPr>
        <w:t>Sr/</w:t>
      </w:r>
      <w:r w:rsidRPr="009E5CFF">
        <w:rPr>
          <w:vertAlign w:val="superscript"/>
          <w:lang w:val="en-AU"/>
        </w:rPr>
        <w:t>90</w:t>
      </w:r>
      <w:r w:rsidRPr="009E5CFF">
        <w:rPr>
          <w:lang w:val="en-AU"/>
        </w:rPr>
        <w:t>Y beta source</w:t>
      </w:r>
      <w:r w:rsidR="00CA131B">
        <w:rPr>
          <w:lang w:val="en-AU"/>
        </w:rPr>
        <w:t>s</w:t>
      </w:r>
      <w:r w:rsidRPr="009E5CFF">
        <w:rPr>
          <w:lang w:val="en-AU"/>
        </w:rPr>
        <w:t xml:space="preserve"> that had been calibrated to administer known doses to multi-grain aliquots and single-grain discs (average single-grain dose rate at the time of measurement = 0.</w:t>
      </w:r>
      <w:r w:rsidR="009830BC">
        <w:rPr>
          <w:lang w:val="en-AU"/>
        </w:rPr>
        <w:t>10</w:t>
      </w:r>
      <w:r w:rsidRPr="009E5CFF">
        <w:rPr>
          <w:lang w:val="en-AU"/>
        </w:rPr>
        <w:t xml:space="preserve"> </w:t>
      </w:r>
      <w:proofErr w:type="spellStart"/>
      <w:r w:rsidRPr="009E5CFF">
        <w:rPr>
          <w:lang w:val="en-AU"/>
        </w:rPr>
        <w:t>Gy</w:t>
      </w:r>
      <w:proofErr w:type="spellEnd"/>
      <w:r w:rsidRPr="009E5CFF">
        <w:rPr>
          <w:lang w:val="en-AU"/>
        </w:rPr>
        <w:t>/s</w:t>
      </w:r>
      <w:r w:rsidR="003B3474">
        <w:rPr>
          <w:lang w:val="en-AU"/>
        </w:rPr>
        <w:t xml:space="preserve"> for </w:t>
      </w:r>
      <w:proofErr w:type="spellStart"/>
      <w:r w:rsidR="003B3474">
        <w:rPr>
          <w:lang w:val="en-AU"/>
        </w:rPr>
        <w:t>Riso</w:t>
      </w:r>
      <w:proofErr w:type="spellEnd"/>
      <w:r w:rsidR="003B3474">
        <w:rPr>
          <w:lang w:val="en-AU"/>
        </w:rPr>
        <w:t xml:space="preserve"> 2 and 0.</w:t>
      </w:r>
      <w:r w:rsidR="009830BC">
        <w:rPr>
          <w:lang w:val="en-AU"/>
        </w:rPr>
        <w:t>08</w:t>
      </w:r>
      <w:r w:rsidR="003B3474" w:rsidRPr="003B3474">
        <w:rPr>
          <w:lang w:val="en-AU"/>
        </w:rPr>
        <w:t xml:space="preserve"> </w:t>
      </w:r>
      <w:proofErr w:type="spellStart"/>
      <w:r w:rsidR="003B3474" w:rsidRPr="009E5CFF">
        <w:rPr>
          <w:lang w:val="en-AU"/>
        </w:rPr>
        <w:t>Gy</w:t>
      </w:r>
      <w:proofErr w:type="spellEnd"/>
      <w:r w:rsidR="003B3474" w:rsidRPr="009E5CFF">
        <w:rPr>
          <w:lang w:val="en-AU"/>
        </w:rPr>
        <w:t>/s</w:t>
      </w:r>
      <w:r w:rsidR="003B3474">
        <w:rPr>
          <w:lang w:val="en-AU"/>
        </w:rPr>
        <w:t xml:space="preserve"> for </w:t>
      </w:r>
      <w:proofErr w:type="spellStart"/>
      <w:r w:rsidR="003B3474">
        <w:rPr>
          <w:lang w:val="en-AU"/>
        </w:rPr>
        <w:t>Riso</w:t>
      </w:r>
      <w:proofErr w:type="spellEnd"/>
      <w:r w:rsidR="003B3474">
        <w:rPr>
          <w:lang w:val="en-AU"/>
        </w:rPr>
        <w:t xml:space="preserve"> 7</w:t>
      </w:r>
      <w:r w:rsidRPr="009E5CFF">
        <w:rPr>
          <w:lang w:val="en-AU"/>
        </w:rPr>
        <w:t xml:space="preserve">). For single-grain measurements, spatial variations in the beta dose rate across the disc plane were </w:t>
      </w:r>
      <w:proofErr w:type="gramStart"/>
      <w:r w:rsidRPr="009E5CFF">
        <w:rPr>
          <w:lang w:val="en-AU"/>
        </w:rPr>
        <w:t>taken into account</w:t>
      </w:r>
      <w:proofErr w:type="gramEnd"/>
      <w:r w:rsidRPr="009E5CFF">
        <w:rPr>
          <w:lang w:val="en-AU"/>
        </w:rPr>
        <w:t xml:space="preserve"> by undertaking hole-specific calibrations using gamma-irradiated quartz.</w:t>
      </w:r>
    </w:p>
    <w:p w14:paraId="567F8DFA" w14:textId="77777777" w:rsidR="009E5CFF" w:rsidRDefault="009E5CFF" w:rsidP="00045FED">
      <w:pPr>
        <w:jc w:val="both"/>
      </w:pPr>
    </w:p>
    <w:p w14:paraId="76768409" w14:textId="62D39FC6" w:rsidR="0094244E" w:rsidRDefault="00F85008" w:rsidP="0094244E">
      <w:pPr>
        <w:jc w:val="both"/>
        <w:rPr>
          <w:bCs/>
        </w:rPr>
      </w:pPr>
      <w:r w:rsidRPr="00F85008">
        <w:t>The suitability of the SAR D</w:t>
      </w:r>
      <w:r w:rsidRPr="00F85008">
        <w:rPr>
          <w:vertAlign w:val="subscript"/>
        </w:rPr>
        <w:t>e</w:t>
      </w:r>
      <w:r w:rsidRPr="00F85008">
        <w:t xml:space="preserve"> determination procedure </w:t>
      </w:r>
      <w:r w:rsidR="0094244E">
        <w:t>used in this study (</w:t>
      </w:r>
      <w:r w:rsidRPr="00F85008">
        <w:rPr>
          <w:b/>
        </w:rPr>
        <w:t>Table S1</w:t>
      </w:r>
      <w:r w:rsidR="0094244E">
        <w:t xml:space="preserve">) </w:t>
      </w:r>
      <w:r w:rsidRPr="00F85008">
        <w:t xml:space="preserve">was evaluated by undertaking a series of multi-grain aliquot and single-grain dose-recovery tests </w:t>
      </w:r>
      <w:r w:rsidR="005A1270">
        <w:t xml:space="preserve">on sample </w:t>
      </w:r>
      <w:r w:rsidR="009830BC">
        <w:t>LM17188-03</w:t>
      </w:r>
      <w:r w:rsidRPr="00F85008">
        <w:t xml:space="preserve">. Multi-grain aliquot dose-recovery tests were first used to ascertain optimal preheating conditions for bulk grain populations. These </w:t>
      </w:r>
      <w:r w:rsidRPr="00F85008">
        <w:rPr>
          <w:bCs/>
        </w:rPr>
        <w:t>tests were performed</w:t>
      </w:r>
      <w:r w:rsidR="00C36F7C">
        <w:rPr>
          <w:bCs/>
        </w:rPr>
        <w:t xml:space="preserve"> on ~</w:t>
      </w:r>
      <w:r w:rsidR="002A1E78">
        <w:rPr>
          <w:bCs/>
        </w:rPr>
        <w:t>10</w:t>
      </w:r>
      <w:r w:rsidR="005A1270">
        <w:rPr>
          <w:bCs/>
        </w:rPr>
        <w:t xml:space="preserve">0-grain aliquots using a series of different </w:t>
      </w:r>
      <w:r w:rsidRPr="00F85008">
        <w:rPr>
          <w:bCs/>
        </w:rPr>
        <w:t>regenerative dose preheat (PH</w:t>
      </w:r>
      <w:r w:rsidRPr="00F85008">
        <w:rPr>
          <w:bCs/>
          <w:vertAlign w:val="subscript"/>
        </w:rPr>
        <w:t>1</w:t>
      </w:r>
      <w:r w:rsidRPr="00F85008">
        <w:rPr>
          <w:bCs/>
        </w:rPr>
        <w:t xml:space="preserve">) </w:t>
      </w:r>
      <w:r w:rsidR="005A1270">
        <w:rPr>
          <w:bCs/>
        </w:rPr>
        <w:t xml:space="preserve">conditions </w:t>
      </w:r>
      <w:r w:rsidR="00AF588F">
        <w:rPr>
          <w:bCs/>
        </w:rPr>
        <w:t>(</w:t>
      </w:r>
      <w:r w:rsidR="005A1270">
        <w:rPr>
          <w:bCs/>
        </w:rPr>
        <w:t>ranging between</w:t>
      </w:r>
      <w:r w:rsidRPr="00F85008">
        <w:rPr>
          <w:bCs/>
        </w:rPr>
        <w:t xml:space="preserve"> 2</w:t>
      </w:r>
      <w:r w:rsidR="005A1270">
        <w:rPr>
          <w:bCs/>
        </w:rPr>
        <w:t>0</w:t>
      </w:r>
      <w:r w:rsidRPr="00F85008">
        <w:rPr>
          <w:bCs/>
        </w:rPr>
        <w:t xml:space="preserve">0 </w:t>
      </w:r>
      <w:proofErr w:type="spellStart"/>
      <w:r w:rsidRPr="00F85008">
        <w:rPr>
          <w:bCs/>
          <w:vertAlign w:val="superscript"/>
        </w:rPr>
        <w:t>o</w:t>
      </w:r>
      <w:r w:rsidRPr="00F85008">
        <w:rPr>
          <w:bCs/>
        </w:rPr>
        <w:t>C</w:t>
      </w:r>
      <w:proofErr w:type="spellEnd"/>
      <w:r w:rsidRPr="00F85008">
        <w:rPr>
          <w:bCs/>
        </w:rPr>
        <w:t xml:space="preserve"> for 10 s and </w:t>
      </w:r>
      <w:r w:rsidR="005A1270" w:rsidRPr="00F85008">
        <w:rPr>
          <w:bCs/>
        </w:rPr>
        <w:t xml:space="preserve">260 </w:t>
      </w:r>
      <w:proofErr w:type="spellStart"/>
      <w:r w:rsidR="005A1270" w:rsidRPr="00F85008">
        <w:rPr>
          <w:bCs/>
          <w:vertAlign w:val="superscript"/>
        </w:rPr>
        <w:t>o</w:t>
      </w:r>
      <w:r w:rsidR="005A1270" w:rsidRPr="00F85008">
        <w:rPr>
          <w:bCs/>
        </w:rPr>
        <w:t>C</w:t>
      </w:r>
      <w:proofErr w:type="spellEnd"/>
      <w:r w:rsidR="005A1270" w:rsidRPr="00F85008">
        <w:rPr>
          <w:bCs/>
        </w:rPr>
        <w:t xml:space="preserve"> for 10 s</w:t>
      </w:r>
      <w:r w:rsidR="00AF588F">
        <w:rPr>
          <w:bCs/>
        </w:rPr>
        <w:t>)</w:t>
      </w:r>
      <w:r w:rsidR="005A1270" w:rsidRPr="00F85008">
        <w:rPr>
          <w:bCs/>
        </w:rPr>
        <w:t xml:space="preserve"> and </w:t>
      </w:r>
      <w:r w:rsidRPr="00F85008">
        <w:rPr>
          <w:bCs/>
        </w:rPr>
        <w:t>different test dose preheat (PH</w:t>
      </w:r>
      <w:r w:rsidRPr="00F85008">
        <w:rPr>
          <w:bCs/>
          <w:vertAlign w:val="subscript"/>
        </w:rPr>
        <w:t>2</w:t>
      </w:r>
      <w:r w:rsidRPr="00F85008">
        <w:rPr>
          <w:bCs/>
        </w:rPr>
        <w:t xml:space="preserve">) combinations </w:t>
      </w:r>
      <w:r w:rsidR="005A1270">
        <w:rPr>
          <w:bCs/>
        </w:rPr>
        <w:t>(</w:t>
      </w:r>
      <w:r w:rsidRPr="00F85008">
        <w:rPr>
          <w:bCs/>
        </w:rPr>
        <w:t xml:space="preserve">160 </w:t>
      </w:r>
      <w:proofErr w:type="spellStart"/>
      <w:r w:rsidRPr="00F85008">
        <w:rPr>
          <w:bCs/>
          <w:vertAlign w:val="superscript"/>
        </w:rPr>
        <w:t>o</w:t>
      </w:r>
      <w:r w:rsidRPr="00F85008">
        <w:rPr>
          <w:bCs/>
        </w:rPr>
        <w:t>C</w:t>
      </w:r>
      <w:proofErr w:type="spellEnd"/>
      <w:r w:rsidRPr="00F85008">
        <w:rPr>
          <w:bCs/>
        </w:rPr>
        <w:t xml:space="preserve"> for 10 s</w:t>
      </w:r>
      <w:r w:rsidR="002A1E78">
        <w:rPr>
          <w:bCs/>
        </w:rPr>
        <w:t xml:space="preserve"> or</w:t>
      </w:r>
      <w:r w:rsidRPr="00F85008">
        <w:rPr>
          <w:bCs/>
        </w:rPr>
        <w:t xml:space="preserve"> 2</w:t>
      </w:r>
      <w:r w:rsidR="002A1E78">
        <w:rPr>
          <w:bCs/>
        </w:rPr>
        <w:t>2</w:t>
      </w:r>
      <w:r w:rsidRPr="00F85008">
        <w:rPr>
          <w:bCs/>
        </w:rPr>
        <w:t xml:space="preserve">0 </w:t>
      </w:r>
      <w:proofErr w:type="spellStart"/>
      <w:r w:rsidRPr="00F85008">
        <w:rPr>
          <w:bCs/>
          <w:vertAlign w:val="superscript"/>
        </w:rPr>
        <w:t>o</w:t>
      </w:r>
      <w:r w:rsidRPr="00F85008">
        <w:rPr>
          <w:bCs/>
        </w:rPr>
        <w:t>C</w:t>
      </w:r>
      <w:proofErr w:type="spellEnd"/>
      <w:r w:rsidRPr="00F85008">
        <w:rPr>
          <w:bCs/>
        </w:rPr>
        <w:t xml:space="preserve"> for 10 s</w:t>
      </w:r>
      <w:r w:rsidR="005A1270">
        <w:rPr>
          <w:bCs/>
        </w:rPr>
        <w:t>)</w:t>
      </w:r>
      <w:r w:rsidRPr="00F85008">
        <w:rPr>
          <w:bCs/>
        </w:rPr>
        <w:t xml:space="preserve">. A known laboratory dose of </w:t>
      </w:r>
      <w:r w:rsidR="00C36F7C">
        <w:rPr>
          <w:bCs/>
        </w:rPr>
        <w:t>1</w:t>
      </w:r>
      <w:r w:rsidR="002A1E78">
        <w:rPr>
          <w:bCs/>
        </w:rPr>
        <w:t>0</w:t>
      </w:r>
      <w:r w:rsidR="005A1270">
        <w:rPr>
          <w:bCs/>
        </w:rPr>
        <w:t>0</w:t>
      </w:r>
      <w:r w:rsidRPr="00F85008">
        <w:rPr>
          <w:bCs/>
        </w:rPr>
        <w:t xml:space="preserve"> </w:t>
      </w:r>
      <w:proofErr w:type="spellStart"/>
      <w:r w:rsidRPr="00F85008">
        <w:rPr>
          <w:bCs/>
        </w:rPr>
        <w:t>Gy</w:t>
      </w:r>
      <w:proofErr w:type="spellEnd"/>
      <w:r w:rsidRPr="00F85008">
        <w:rPr>
          <w:bCs/>
        </w:rPr>
        <w:t xml:space="preserve"> was applied to groups of </w:t>
      </w:r>
      <w:r w:rsidR="000240BA">
        <w:rPr>
          <w:bCs/>
        </w:rPr>
        <w:t>three</w:t>
      </w:r>
      <w:r w:rsidRPr="00F85008">
        <w:rPr>
          <w:bCs/>
        </w:rPr>
        <w:t xml:space="preserve"> aliquots after optically bleaching their natural OSL signals using two 1,000 s blue LED stimulations separated by a 10,000 s pause (to ensure complete decay of </w:t>
      </w:r>
      <w:proofErr w:type="spellStart"/>
      <w:r w:rsidRPr="00F85008">
        <w:rPr>
          <w:bCs/>
        </w:rPr>
        <w:t>phototransferred</w:t>
      </w:r>
      <w:proofErr w:type="spellEnd"/>
      <w:r w:rsidRPr="00F85008">
        <w:rPr>
          <w:bCs/>
        </w:rPr>
        <w:t xml:space="preserve"> charge in the 110 </w:t>
      </w:r>
      <w:proofErr w:type="spellStart"/>
      <w:r w:rsidRPr="00F85008">
        <w:rPr>
          <w:bCs/>
          <w:vertAlign w:val="superscript"/>
        </w:rPr>
        <w:t>o</w:t>
      </w:r>
      <w:r w:rsidRPr="00F85008">
        <w:rPr>
          <w:bCs/>
        </w:rPr>
        <w:t>C</w:t>
      </w:r>
      <w:proofErr w:type="spellEnd"/>
      <w:r w:rsidRPr="00F85008">
        <w:rPr>
          <w:bCs/>
        </w:rPr>
        <w:t xml:space="preserve"> TL trap). The administered dose was treated as a surrogate natural dose a</w:t>
      </w:r>
      <w:r w:rsidR="005A1270">
        <w:rPr>
          <w:bCs/>
        </w:rPr>
        <w:t xml:space="preserve">nd subsequently measured using </w:t>
      </w:r>
      <w:r w:rsidR="0094244E">
        <w:rPr>
          <w:bCs/>
        </w:rPr>
        <w:t>a</w:t>
      </w:r>
      <w:r w:rsidRPr="00F85008">
        <w:rPr>
          <w:bCs/>
        </w:rPr>
        <w:t xml:space="preserve"> multi-grain version of the SAR sequence shown in </w:t>
      </w:r>
      <w:r w:rsidRPr="00F85008">
        <w:rPr>
          <w:b/>
          <w:bCs/>
        </w:rPr>
        <w:t xml:space="preserve">Table </w:t>
      </w:r>
      <w:r w:rsidR="005A1270">
        <w:rPr>
          <w:b/>
          <w:bCs/>
        </w:rPr>
        <w:t>S</w:t>
      </w:r>
      <w:r w:rsidRPr="00F85008">
        <w:rPr>
          <w:b/>
          <w:bCs/>
        </w:rPr>
        <w:t>1</w:t>
      </w:r>
      <w:r w:rsidR="00C36F7C">
        <w:rPr>
          <w:bCs/>
        </w:rPr>
        <w:t>, which</w:t>
      </w:r>
      <w:r w:rsidR="0094244E" w:rsidRPr="00C36F7C">
        <w:rPr>
          <w:bCs/>
        </w:rPr>
        <w:t xml:space="preserve"> </w:t>
      </w:r>
      <w:r w:rsidR="00C36F7C" w:rsidRPr="00C36F7C">
        <w:rPr>
          <w:bCs/>
        </w:rPr>
        <w:t xml:space="preserve">involved </w:t>
      </w:r>
      <w:r w:rsidR="0094244E">
        <w:rPr>
          <w:bCs/>
        </w:rPr>
        <w:t xml:space="preserve">replacing </w:t>
      </w:r>
      <w:r w:rsidR="0094244E" w:rsidRPr="0094244E">
        <w:rPr>
          <w:bCs/>
        </w:rPr>
        <w:t xml:space="preserve">125°C green laser stimulations with 125°C blue LED stimulations for 60 </w:t>
      </w:r>
      <w:proofErr w:type="gramStart"/>
      <w:r w:rsidR="0094244E" w:rsidRPr="0094244E">
        <w:rPr>
          <w:bCs/>
        </w:rPr>
        <w:t>s, and</w:t>
      </w:r>
      <w:proofErr w:type="gramEnd"/>
      <w:r w:rsidR="0094244E" w:rsidRPr="0094244E">
        <w:rPr>
          <w:bCs/>
        </w:rPr>
        <w:t xml:space="preserve"> inserting a 50°C </w:t>
      </w:r>
      <w:r w:rsidR="000240BA">
        <w:rPr>
          <w:bCs/>
        </w:rPr>
        <w:t>infrared</w:t>
      </w:r>
      <w:r w:rsidR="0094244E" w:rsidRPr="0094244E">
        <w:rPr>
          <w:bCs/>
        </w:rPr>
        <w:t xml:space="preserve"> bleach for 40 s prior to each OSL measurement to remove any feldspar signal contamination. </w:t>
      </w:r>
      <w:r w:rsidR="00636877" w:rsidRPr="00870E12">
        <w:rPr>
          <w:b/>
          <w:bCs/>
        </w:rPr>
        <w:t>Fig</w:t>
      </w:r>
      <w:r w:rsidR="00636877">
        <w:rPr>
          <w:b/>
          <w:bCs/>
        </w:rPr>
        <w:t>ure</w:t>
      </w:r>
      <w:r w:rsidR="00636877" w:rsidRPr="00870E12">
        <w:rPr>
          <w:b/>
          <w:bCs/>
        </w:rPr>
        <w:t xml:space="preserve"> S1</w:t>
      </w:r>
      <w:r w:rsidR="00636877" w:rsidRPr="00870E12">
        <w:rPr>
          <w:bCs/>
        </w:rPr>
        <w:t xml:space="preserve"> summarises the results of the multi-grain aliquot dose-reco</w:t>
      </w:r>
      <w:r w:rsidR="00636877">
        <w:rPr>
          <w:bCs/>
        </w:rPr>
        <w:t xml:space="preserve">very tests performed on </w:t>
      </w:r>
      <w:r w:rsidR="002A1E78" w:rsidRPr="002A1E78">
        <w:rPr>
          <w:bCs/>
        </w:rPr>
        <w:t>LM17188-03</w:t>
      </w:r>
      <w:r w:rsidR="00636877" w:rsidRPr="00870E12">
        <w:rPr>
          <w:bCs/>
        </w:rPr>
        <w:t xml:space="preserve">. </w:t>
      </w:r>
      <w:r w:rsidR="002A1E78">
        <w:rPr>
          <w:bCs/>
        </w:rPr>
        <w:t>In general, the mean measured-to-given dose</w:t>
      </w:r>
      <w:r w:rsidR="00A8773E">
        <w:rPr>
          <w:bCs/>
        </w:rPr>
        <w:t xml:space="preserve"> values </w:t>
      </w:r>
      <w:r w:rsidR="00710217">
        <w:rPr>
          <w:bCs/>
        </w:rPr>
        <w:t xml:space="preserve">of this sample </w:t>
      </w:r>
      <w:r w:rsidR="00A8773E">
        <w:rPr>
          <w:bCs/>
        </w:rPr>
        <w:t xml:space="preserve">exhibit limited dependency on </w:t>
      </w:r>
      <w:r w:rsidR="00A8773E" w:rsidRPr="00A8773E">
        <w:rPr>
          <w:bCs/>
        </w:rPr>
        <w:t>PH</w:t>
      </w:r>
      <w:r w:rsidR="00A8773E" w:rsidRPr="00A8773E">
        <w:rPr>
          <w:bCs/>
          <w:vertAlign w:val="subscript"/>
        </w:rPr>
        <w:t>1</w:t>
      </w:r>
      <w:r w:rsidR="00A8773E" w:rsidRPr="00A8773E">
        <w:rPr>
          <w:bCs/>
        </w:rPr>
        <w:t xml:space="preserve"> </w:t>
      </w:r>
      <w:r w:rsidR="00A8773E">
        <w:rPr>
          <w:bCs/>
        </w:rPr>
        <w:t xml:space="preserve">and </w:t>
      </w:r>
      <w:r w:rsidR="00A8773E" w:rsidRPr="00A8773E">
        <w:rPr>
          <w:bCs/>
        </w:rPr>
        <w:t>PH</w:t>
      </w:r>
      <w:r w:rsidR="00A8773E">
        <w:rPr>
          <w:bCs/>
          <w:vertAlign w:val="subscript"/>
        </w:rPr>
        <w:t>2</w:t>
      </w:r>
      <w:r w:rsidR="00A8773E" w:rsidRPr="00A8773E">
        <w:rPr>
          <w:bCs/>
        </w:rPr>
        <w:t xml:space="preserve"> </w:t>
      </w:r>
      <w:r w:rsidR="00A8773E">
        <w:rPr>
          <w:bCs/>
        </w:rPr>
        <w:t xml:space="preserve">conditions; six of the seven preheat combinations tested yielded mean </w:t>
      </w:r>
      <w:r w:rsidR="00A8773E" w:rsidRPr="00A8773E">
        <w:rPr>
          <w:bCs/>
        </w:rPr>
        <w:t>measured-to-given dose</w:t>
      </w:r>
      <w:r w:rsidR="00A8773E">
        <w:rPr>
          <w:bCs/>
        </w:rPr>
        <w:t xml:space="preserve"> ratios consistent with unity at 1σ or 2σ, though </w:t>
      </w:r>
      <w:r w:rsidR="00710217">
        <w:rPr>
          <w:bCs/>
        </w:rPr>
        <w:t>significant inter-aliquot D</w:t>
      </w:r>
      <w:r w:rsidR="00710217" w:rsidRPr="00710217">
        <w:rPr>
          <w:bCs/>
          <w:vertAlign w:val="subscript"/>
        </w:rPr>
        <w:t>e</w:t>
      </w:r>
      <w:r w:rsidR="00710217">
        <w:rPr>
          <w:bCs/>
        </w:rPr>
        <w:t xml:space="preserve"> scatter </w:t>
      </w:r>
      <w:r w:rsidR="002A1E78">
        <w:rPr>
          <w:bCs/>
        </w:rPr>
        <w:t xml:space="preserve">is </w:t>
      </w:r>
      <w:r w:rsidR="00710217">
        <w:rPr>
          <w:bCs/>
        </w:rPr>
        <w:t>observed for some of these preheat combinations (</w:t>
      </w:r>
      <w:proofErr w:type="gramStart"/>
      <w:r w:rsidR="00710217">
        <w:rPr>
          <w:bCs/>
        </w:rPr>
        <w:t>e.g.</w:t>
      </w:r>
      <w:proofErr w:type="gramEnd"/>
      <w:r w:rsidR="00710217">
        <w:rPr>
          <w:bCs/>
        </w:rPr>
        <w:t xml:space="preserve"> </w:t>
      </w:r>
      <w:r w:rsidR="00710217" w:rsidRPr="00710217">
        <w:rPr>
          <w:bCs/>
        </w:rPr>
        <w:t>PH</w:t>
      </w:r>
      <w:r w:rsidR="00710217" w:rsidRPr="00710217">
        <w:rPr>
          <w:bCs/>
          <w:vertAlign w:val="subscript"/>
        </w:rPr>
        <w:t>1</w:t>
      </w:r>
      <w:r w:rsidR="00710217" w:rsidRPr="00710217">
        <w:rPr>
          <w:bCs/>
        </w:rPr>
        <w:t xml:space="preserve"> of 2</w:t>
      </w:r>
      <w:r w:rsidR="00710217">
        <w:rPr>
          <w:bCs/>
        </w:rPr>
        <w:t>6</w:t>
      </w:r>
      <w:r w:rsidR="00710217" w:rsidRPr="00710217">
        <w:rPr>
          <w:bCs/>
        </w:rPr>
        <w:t xml:space="preserve">0 </w:t>
      </w:r>
      <w:proofErr w:type="spellStart"/>
      <w:r w:rsidR="00710217" w:rsidRPr="00710217">
        <w:rPr>
          <w:bCs/>
          <w:vertAlign w:val="superscript"/>
        </w:rPr>
        <w:t>o</w:t>
      </w:r>
      <w:r w:rsidR="00710217" w:rsidRPr="00710217">
        <w:rPr>
          <w:bCs/>
        </w:rPr>
        <w:t>C</w:t>
      </w:r>
      <w:proofErr w:type="spellEnd"/>
      <w:r w:rsidR="00710217" w:rsidRPr="00710217">
        <w:rPr>
          <w:bCs/>
        </w:rPr>
        <w:t xml:space="preserve"> for 10 s and a PH</w:t>
      </w:r>
      <w:r w:rsidR="00710217" w:rsidRPr="00710217">
        <w:rPr>
          <w:bCs/>
          <w:vertAlign w:val="subscript"/>
        </w:rPr>
        <w:t>2</w:t>
      </w:r>
      <w:r w:rsidR="00710217" w:rsidRPr="00710217">
        <w:rPr>
          <w:bCs/>
        </w:rPr>
        <w:t xml:space="preserve"> of </w:t>
      </w:r>
      <w:r w:rsidR="00710217">
        <w:rPr>
          <w:bCs/>
        </w:rPr>
        <w:t>220</w:t>
      </w:r>
      <w:r w:rsidR="00710217" w:rsidRPr="00710217">
        <w:rPr>
          <w:bCs/>
        </w:rPr>
        <w:t xml:space="preserve"> </w:t>
      </w:r>
      <w:proofErr w:type="spellStart"/>
      <w:r w:rsidR="00710217" w:rsidRPr="00710217">
        <w:rPr>
          <w:bCs/>
          <w:vertAlign w:val="superscript"/>
        </w:rPr>
        <w:t>o</w:t>
      </w:r>
      <w:r w:rsidR="00710217" w:rsidRPr="00710217">
        <w:rPr>
          <w:bCs/>
        </w:rPr>
        <w:t>C</w:t>
      </w:r>
      <w:proofErr w:type="spellEnd"/>
      <w:r w:rsidR="00710217" w:rsidRPr="00710217">
        <w:rPr>
          <w:bCs/>
        </w:rPr>
        <w:t xml:space="preserve"> for 10 s</w:t>
      </w:r>
      <w:r w:rsidR="00710217">
        <w:rPr>
          <w:bCs/>
        </w:rPr>
        <w:t>).</w:t>
      </w:r>
      <w:r w:rsidR="002A1E78">
        <w:rPr>
          <w:bCs/>
        </w:rPr>
        <w:t xml:space="preserve"> </w:t>
      </w:r>
      <w:r w:rsidR="00636877" w:rsidRPr="00870E12">
        <w:rPr>
          <w:bCs/>
        </w:rPr>
        <w:t xml:space="preserve">The most </w:t>
      </w:r>
      <w:r w:rsidR="00636877">
        <w:rPr>
          <w:bCs/>
        </w:rPr>
        <w:t>suitable</w:t>
      </w:r>
      <w:r w:rsidR="00636877" w:rsidRPr="00870E12">
        <w:rPr>
          <w:bCs/>
        </w:rPr>
        <w:t xml:space="preserve"> dose-recovery results were obtained using a PH</w:t>
      </w:r>
      <w:r w:rsidR="00636877" w:rsidRPr="00870E12">
        <w:rPr>
          <w:bCs/>
          <w:vertAlign w:val="subscript"/>
        </w:rPr>
        <w:t>1</w:t>
      </w:r>
      <w:r w:rsidR="00636877" w:rsidRPr="00870E12">
        <w:rPr>
          <w:bCs/>
        </w:rPr>
        <w:t xml:space="preserve"> of 2</w:t>
      </w:r>
      <w:r w:rsidR="00710217">
        <w:rPr>
          <w:bCs/>
        </w:rPr>
        <w:t>2</w:t>
      </w:r>
      <w:r w:rsidR="00636877" w:rsidRPr="00870E12">
        <w:rPr>
          <w:bCs/>
        </w:rPr>
        <w:t xml:space="preserve">0 </w:t>
      </w:r>
      <w:proofErr w:type="spellStart"/>
      <w:r w:rsidR="00636877" w:rsidRPr="00870E12">
        <w:rPr>
          <w:bCs/>
          <w:vertAlign w:val="superscript"/>
        </w:rPr>
        <w:t>o</w:t>
      </w:r>
      <w:r w:rsidR="00636877" w:rsidRPr="00870E12">
        <w:rPr>
          <w:bCs/>
        </w:rPr>
        <w:t>C</w:t>
      </w:r>
      <w:proofErr w:type="spellEnd"/>
      <w:r w:rsidR="00636877" w:rsidRPr="00870E12">
        <w:rPr>
          <w:bCs/>
        </w:rPr>
        <w:t xml:space="preserve"> for 10 s and a PH</w:t>
      </w:r>
      <w:r w:rsidR="00636877" w:rsidRPr="00870E12">
        <w:rPr>
          <w:bCs/>
          <w:vertAlign w:val="subscript"/>
        </w:rPr>
        <w:t>2</w:t>
      </w:r>
      <w:r w:rsidR="00636877">
        <w:rPr>
          <w:bCs/>
        </w:rPr>
        <w:t xml:space="preserve"> of </w:t>
      </w:r>
      <w:r w:rsidR="00C36F7C">
        <w:rPr>
          <w:bCs/>
        </w:rPr>
        <w:t>16</w:t>
      </w:r>
      <w:r w:rsidR="00636877" w:rsidRPr="00870E12">
        <w:rPr>
          <w:bCs/>
        </w:rPr>
        <w:t xml:space="preserve">0 </w:t>
      </w:r>
      <w:proofErr w:type="spellStart"/>
      <w:r w:rsidR="00636877" w:rsidRPr="00870E12">
        <w:rPr>
          <w:bCs/>
          <w:vertAlign w:val="superscript"/>
        </w:rPr>
        <w:t>o</w:t>
      </w:r>
      <w:r w:rsidR="00636877" w:rsidRPr="00870E12">
        <w:rPr>
          <w:bCs/>
        </w:rPr>
        <w:t>C</w:t>
      </w:r>
      <w:proofErr w:type="spellEnd"/>
      <w:r w:rsidR="00636877" w:rsidRPr="00870E12">
        <w:rPr>
          <w:bCs/>
        </w:rPr>
        <w:t xml:space="preserve"> for 10 s. This </w:t>
      </w:r>
      <w:proofErr w:type="gramStart"/>
      <w:r w:rsidR="00636877" w:rsidRPr="00870E12">
        <w:rPr>
          <w:bCs/>
        </w:rPr>
        <w:t>preheat</w:t>
      </w:r>
      <w:proofErr w:type="gramEnd"/>
      <w:r w:rsidR="00636877" w:rsidRPr="00870E12">
        <w:rPr>
          <w:bCs/>
        </w:rPr>
        <w:t xml:space="preserve"> combination yielded a weighted mean meas</w:t>
      </w:r>
      <w:r w:rsidR="00C36F7C">
        <w:rPr>
          <w:bCs/>
        </w:rPr>
        <w:t>ured-to-given dose ratio of 1.0</w:t>
      </w:r>
      <w:r w:rsidR="00710217">
        <w:rPr>
          <w:bCs/>
        </w:rPr>
        <w:t>2</w:t>
      </w:r>
      <w:r w:rsidR="00636877" w:rsidRPr="00870E12">
        <w:rPr>
          <w:bCs/>
        </w:rPr>
        <w:t xml:space="preserve"> ± 0.0</w:t>
      </w:r>
      <w:r w:rsidR="00710217">
        <w:rPr>
          <w:bCs/>
        </w:rPr>
        <w:t>6</w:t>
      </w:r>
      <w:r w:rsidR="00636877" w:rsidRPr="00870E12">
        <w:rPr>
          <w:bCs/>
        </w:rPr>
        <w:t xml:space="preserve">, </w:t>
      </w:r>
      <w:r w:rsidR="00710217">
        <w:rPr>
          <w:bCs/>
        </w:rPr>
        <w:t xml:space="preserve">the </w:t>
      </w:r>
      <w:r w:rsidR="00636877" w:rsidRPr="00870E12">
        <w:rPr>
          <w:bCs/>
        </w:rPr>
        <w:t>low</w:t>
      </w:r>
      <w:r w:rsidR="00710217">
        <w:rPr>
          <w:bCs/>
        </w:rPr>
        <w:t>est</w:t>
      </w:r>
      <w:r w:rsidR="00636877" w:rsidRPr="00870E12">
        <w:rPr>
          <w:bCs/>
        </w:rPr>
        <w:t xml:space="preserve"> inter-aliquot D</w:t>
      </w:r>
      <w:r w:rsidR="00636877" w:rsidRPr="00870E12">
        <w:rPr>
          <w:bCs/>
          <w:vertAlign w:val="subscript"/>
        </w:rPr>
        <w:t>e</w:t>
      </w:r>
      <w:r w:rsidR="00636877" w:rsidRPr="00870E12">
        <w:rPr>
          <w:bCs/>
        </w:rPr>
        <w:t xml:space="preserve"> scatter</w:t>
      </w:r>
      <w:r w:rsidR="00710217">
        <w:rPr>
          <w:bCs/>
        </w:rPr>
        <w:t xml:space="preserve"> of all combinations tested</w:t>
      </w:r>
      <w:r w:rsidR="00636877" w:rsidRPr="00870E12">
        <w:rPr>
          <w:bCs/>
        </w:rPr>
        <w:t>, low-dose and high-dose mean recycling ratios in agreement with unity at 1σ (</w:t>
      </w:r>
      <w:r w:rsidR="00710217">
        <w:rPr>
          <w:bCs/>
        </w:rPr>
        <w:t>1.00</w:t>
      </w:r>
      <w:r w:rsidR="00636877" w:rsidRPr="00870E12">
        <w:rPr>
          <w:bCs/>
        </w:rPr>
        <w:t xml:space="preserve"> ± 0.0</w:t>
      </w:r>
      <w:r w:rsidR="00710217">
        <w:rPr>
          <w:bCs/>
        </w:rPr>
        <w:t>5</w:t>
      </w:r>
      <w:r w:rsidR="00636877" w:rsidRPr="00870E12">
        <w:rPr>
          <w:bCs/>
        </w:rPr>
        <w:t xml:space="preserve"> and </w:t>
      </w:r>
      <w:r w:rsidR="00636877">
        <w:rPr>
          <w:bCs/>
        </w:rPr>
        <w:t>1.0</w:t>
      </w:r>
      <w:r w:rsidR="00710217">
        <w:rPr>
          <w:bCs/>
        </w:rPr>
        <w:t>1</w:t>
      </w:r>
      <w:r w:rsidR="00636877" w:rsidRPr="00870E12">
        <w:rPr>
          <w:bCs/>
        </w:rPr>
        <w:t xml:space="preserve"> ± 0.0</w:t>
      </w:r>
      <w:r w:rsidR="00710217">
        <w:rPr>
          <w:bCs/>
        </w:rPr>
        <w:t>4</w:t>
      </w:r>
      <w:r w:rsidR="00636877" w:rsidRPr="00870E12">
        <w:rPr>
          <w:bCs/>
        </w:rPr>
        <w:t>, respectively) and a mean r</w:t>
      </w:r>
      <w:r w:rsidR="00636877">
        <w:rPr>
          <w:bCs/>
        </w:rPr>
        <w:t>ecuperation ratio of less than 1</w:t>
      </w:r>
      <w:r w:rsidR="00636877" w:rsidRPr="00870E12">
        <w:rPr>
          <w:bCs/>
        </w:rPr>
        <w:t>%.</w:t>
      </w:r>
      <w:r w:rsidR="004D57DF">
        <w:rPr>
          <w:bCs/>
        </w:rPr>
        <w:t xml:space="preserve"> This optimum multi-grain preheat combination is very similar to that reported for the nearby Hotel California OSL samples by Arnold et al. (</w:t>
      </w:r>
      <w:r w:rsidR="008E3646">
        <w:rPr>
          <w:bCs/>
        </w:rPr>
        <w:t xml:space="preserve">2012a, </w:t>
      </w:r>
      <w:r w:rsidR="004D57DF">
        <w:rPr>
          <w:bCs/>
        </w:rPr>
        <w:t>2013) (</w:t>
      </w:r>
      <w:proofErr w:type="gramStart"/>
      <w:r w:rsidR="004D57DF">
        <w:rPr>
          <w:bCs/>
        </w:rPr>
        <w:t>i.e.</w:t>
      </w:r>
      <w:proofErr w:type="gramEnd"/>
      <w:r w:rsidR="004D57DF">
        <w:rPr>
          <w:bCs/>
        </w:rPr>
        <w:t xml:space="preserve"> </w:t>
      </w:r>
      <w:r w:rsidR="004D57DF" w:rsidRPr="004D57DF">
        <w:rPr>
          <w:bCs/>
        </w:rPr>
        <w:t>PH</w:t>
      </w:r>
      <w:r w:rsidR="004D57DF" w:rsidRPr="004D57DF">
        <w:rPr>
          <w:bCs/>
          <w:vertAlign w:val="subscript"/>
        </w:rPr>
        <w:t>1</w:t>
      </w:r>
      <w:r w:rsidR="004D57DF" w:rsidRPr="004D57DF">
        <w:rPr>
          <w:bCs/>
        </w:rPr>
        <w:t xml:space="preserve"> of 2</w:t>
      </w:r>
      <w:r w:rsidR="004D57DF">
        <w:rPr>
          <w:bCs/>
        </w:rPr>
        <w:t>0</w:t>
      </w:r>
      <w:r w:rsidR="004D57DF" w:rsidRPr="004D57DF">
        <w:rPr>
          <w:bCs/>
        </w:rPr>
        <w:t xml:space="preserve">0 </w:t>
      </w:r>
      <w:proofErr w:type="spellStart"/>
      <w:r w:rsidR="004D57DF" w:rsidRPr="004D57DF">
        <w:rPr>
          <w:bCs/>
          <w:vertAlign w:val="superscript"/>
        </w:rPr>
        <w:t>o</w:t>
      </w:r>
      <w:r w:rsidR="004D57DF" w:rsidRPr="004D57DF">
        <w:rPr>
          <w:bCs/>
        </w:rPr>
        <w:t>C</w:t>
      </w:r>
      <w:proofErr w:type="spellEnd"/>
      <w:r w:rsidR="004D57DF" w:rsidRPr="004D57DF">
        <w:rPr>
          <w:bCs/>
        </w:rPr>
        <w:t xml:space="preserve"> for 10 s and a PH</w:t>
      </w:r>
      <w:r w:rsidR="004D57DF" w:rsidRPr="004D57DF">
        <w:rPr>
          <w:bCs/>
          <w:vertAlign w:val="subscript"/>
        </w:rPr>
        <w:t>2</w:t>
      </w:r>
      <w:r w:rsidR="004D57DF" w:rsidRPr="004D57DF">
        <w:rPr>
          <w:bCs/>
        </w:rPr>
        <w:t xml:space="preserve"> of </w:t>
      </w:r>
      <w:r w:rsidR="004D57DF">
        <w:rPr>
          <w:bCs/>
        </w:rPr>
        <w:t>16</w:t>
      </w:r>
      <w:r w:rsidR="004D57DF" w:rsidRPr="004D57DF">
        <w:rPr>
          <w:bCs/>
        </w:rPr>
        <w:t xml:space="preserve">0 </w:t>
      </w:r>
      <w:proofErr w:type="spellStart"/>
      <w:r w:rsidR="004D57DF" w:rsidRPr="004D57DF">
        <w:rPr>
          <w:bCs/>
          <w:vertAlign w:val="superscript"/>
        </w:rPr>
        <w:t>o</w:t>
      </w:r>
      <w:r w:rsidR="004D57DF" w:rsidRPr="004D57DF">
        <w:rPr>
          <w:bCs/>
        </w:rPr>
        <w:t>C</w:t>
      </w:r>
      <w:proofErr w:type="spellEnd"/>
      <w:r w:rsidR="004D57DF" w:rsidRPr="004D57DF">
        <w:rPr>
          <w:bCs/>
        </w:rPr>
        <w:t xml:space="preserve"> for 10 s</w:t>
      </w:r>
      <w:r w:rsidR="004D57DF">
        <w:rPr>
          <w:bCs/>
        </w:rPr>
        <w:t xml:space="preserve">). </w:t>
      </w:r>
      <w:r w:rsidR="004D57DF" w:rsidRPr="004D57DF">
        <w:rPr>
          <w:bCs/>
          <w:lang w:val="en-AU"/>
        </w:rPr>
        <w:t>Santamaría et al. (2021)</w:t>
      </w:r>
      <w:r w:rsidR="004D57DF">
        <w:rPr>
          <w:bCs/>
          <w:lang w:val="en-AU"/>
        </w:rPr>
        <w:t xml:space="preserve"> did not provide any details of the dose-recovery test results obtained </w:t>
      </w:r>
      <w:r w:rsidR="008826A2">
        <w:rPr>
          <w:bCs/>
          <w:lang w:val="en-AU"/>
        </w:rPr>
        <w:t xml:space="preserve">in their original multi-grain OSL study of the Fuente </w:t>
      </w:r>
      <w:proofErr w:type="spellStart"/>
      <w:r w:rsidR="008826A2">
        <w:rPr>
          <w:bCs/>
          <w:lang w:val="en-AU"/>
        </w:rPr>
        <w:t>Mudarra</w:t>
      </w:r>
      <w:proofErr w:type="spellEnd"/>
      <w:r w:rsidR="008826A2">
        <w:rPr>
          <w:bCs/>
          <w:lang w:val="en-AU"/>
        </w:rPr>
        <w:t xml:space="preserve"> samples.</w:t>
      </w:r>
    </w:p>
    <w:p w14:paraId="3BB453C4" w14:textId="77777777" w:rsidR="00636877" w:rsidRDefault="00636877" w:rsidP="0094244E">
      <w:pPr>
        <w:jc w:val="both"/>
        <w:rPr>
          <w:bCs/>
        </w:rPr>
      </w:pPr>
    </w:p>
    <w:p w14:paraId="319CD391" w14:textId="7C628F48" w:rsidR="00527FE9" w:rsidRPr="00527FE9" w:rsidRDefault="005A1270" w:rsidP="00527FE9">
      <w:pPr>
        <w:jc w:val="both"/>
        <w:rPr>
          <w:bCs/>
        </w:rPr>
      </w:pPr>
      <w:r w:rsidRPr="00F85008">
        <w:t xml:space="preserve">To </w:t>
      </w:r>
      <w:r w:rsidR="00EA0A75">
        <w:t>confirm</w:t>
      </w:r>
      <w:r w:rsidRPr="00F85008">
        <w:t xml:space="preserve"> the suitability of the </w:t>
      </w:r>
      <w:r w:rsidR="00EA0A75">
        <w:t>SAR procedure at</w:t>
      </w:r>
      <w:r w:rsidRPr="00F85008">
        <w:t xml:space="preserve"> the single-grain scale, we repeated the </w:t>
      </w:r>
      <w:r w:rsidR="00636877">
        <w:t xml:space="preserve">dose-recovery test on </w:t>
      </w:r>
      <w:r w:rsidR="008826A2">
        <w:t>11</w:t>
      </w:r>
      <w:r w:rsidRPr="00F85008">
        <w:t xml:space="preserve">00 individual quartz grains from sample </w:t>
      </w:r>
      <w:r w:rsidR="008826A2">
        <w:t>LM17188-03</w:t>
      </w:r>
      <w:r w:rsidRPr="00F85008">
        <w:t xml:space="preserve"> </w:t>
      </w:r>
      <w:r w:rsidR="00EA0A75">
        <w:t xml:space="preserve">using </w:t>
      </w:r>
      <w:r w:rsidR="00636877">
        <w:t>the optimum</w:t>
      </w:r>
      <w:r w:rsidR="00EA0A75" w:rsidRPr="00EA0A75">
        <w:t xml:space="preserve"> multi-grain </w:t>
      </w:r>
      <w:r w:rsidR="00EA0A75">
        <w:t>preheat conditions</w:t>
      </w:r>
      <w:r w:rsidR="008826A2">
        <w:t xml:space="preserve"> </w:t>
      </w:r>
      <w:r w:rsidR="008826A2" w:rsidRPr="008826A2">
        <w:t>(</w:t>
      </w:r>
      <w:r w:rsidR="008826A2" w:rsidRPr="008826A2">
        <w:rPr>
          <w:bCs/>
        </w:rPr>
        <w:t>PH</w:t>
      </w:r>
      <w:r w:rsidR="008826A2" w:rsidRPr="008826A2">
        <w:rPr>
          <w:bCs/>
          <w:vertAlign w:val="subscript"/>
        </w:rPr>
        <w:t>1</w:t>
      </w:r>
      <w:r w:rsidR="008826A2" w:rsidRPr="008826A2">
        <w:rPr>
          <w:bCs/>
        </w:rPr>
        <w:t xml:space="preserve"> of 2</w:t>
      </w:r>
      <w:r w:rsidR="008826A2">
        <w:rPr>
          <w:bCs/>
        </w:rPr>
        <w:t>2</w:t>
      </w:r>
      <w:r w:rsidR="008826A2" w:rsidRPr="008826A2">
        <w:rPr>
          <w:bCs/>
        </w:rPr>
        <w:t xml:space="preserve">0 </w:t>
      </w:r>
      <w:proofErr w:type="spellStart"/>
      <w:r w:rsidR="008826A2" w:rsidRPr="008826A2">
        <w:rPr>
          <w:bCs/>
          <w:vertAlign w:val="superscript"/>
        </w:rPr>
        <w:t>o</w:t>
      </w:r>
      <w:r w:rsidR="008826A2" w:rsidRPr="008826A2">
        <w:rPr>
          <w:bCs/>
        </w:rPr>
        <w:t>C</w:t>
      </w:r>
      <w:proofErr w:type="spellEnd"/>
      <w:r w:rsidR="008826A2" w:rsidRPr="008826A2">
        <w:rPr>
          <w:bCs/>
        </w:rPr>
        <w:t xml:space="preserve"> for 10 s and a PH</w:t>
      </w:r>
      <w:r w:rsidR="008826A2" w:rsidRPr="008826A2">
        <w:rPr>
          <w:bCs/>
          <w:vertAlign w:val="subscript"/>
        </w:rPr>
        <w:t>2</w:t>
      </w:r>
      <w:r w:rsidR="008826A2" w:rsidRPr="008826A2">
        <w:rPr>
          <w:bCs/>
        </w:rPr>
        <w:t xml:space="preserve"> of </w:t>
      </w:r>
      <w:r w:rsidR="008826A2">
        <w:rPr>
          <w:bCs/>
        </w:rPr>
        <w:t>16</w:t>
      </w:r>
      <w:r w:rsidR="008826A2" w:rsidRPr="008826A2">
        <w:rPr>
          <w:bCs/>
        </w:rPr>
        <w:t xml:space="preserve">0 </w:t>
      </w:r>
      <w:proofErr w:type="spellStart"/>
      <w:r w:rsidR="008826A2" w:rsidRPr="008826A2">
        <w:rPr>
          <w:bCs/>
          <w:vertAlign w:val="superscript"/>
        </w:rPr>
        <w:t>o</w:t>
      </w:r>
      <w:r w:rsidR="008826A2" w:rsidRPr="008826A2">
        <w:rPr>
          <w:bCs/>
        </w:rPr>
        <w:t>C</w:t>
      </w:r>
      <w:proofErr w:type="spellEnd"/>
      <w:r w:rsidR="008826A2" w:rsidRPr="008826A2">
        <w:rPr>
          <w:bCs/>
        </w:rPr>
        <w:t xml:space="preserve"> for 10 s)</w:t>
      </w:r>
      <w:r w:rsidR="00EA0A75">
        <w:t xml:space="preserve">. </w:t>
      </w:r>
      <w:r w:rsidR="00EA0A75" w:rsidRPr="00BA0260">
        <w:rPr>
          <w:bCs/>
          <w:lang w:val="en-AU"/>
        </w:rPr>
        <w:t xml:space="preserve">A dose of </w:t>
      </w:r>
      <w:r w:rsidR="008826A2">
        <w:rPr>
          <w:bCs/>
          <w:lang w:val="en-AU"/>
        </w:rPr>
        <w:t>200</w:t>
      </w:r>
      <w:r w:rsidR="00EA0A75" w:rsidRPr="00BA0260">
        <w:rPr>
          <w:bCs/>
          <w:lang w:val="en-AU"/>
        </w:rPr>
        <w:t xml:space="preserve"> </w:t>
      </w:r>
      <w:proofErr w:type="spellStart"/>
      <w:r w:rsidR="00EA0A75" w:rsidRPr="00BA0260">
        <w:rPr>
          <w:bCs/>
          <w:lang w:val="en-AU"/>
        </w:rPr>
        <w:t>Gy</w:t>
      </w:r>
      <w:proofErr w:type="spellEnd"/>
      <w:r w:rsidR="00EA0A75" w:rsidRPr="00BA0260">
        <w:rPr>
          <w:bCs/>
          <w:lang w:val="en-AU"/>
        </w:rPr>
        <w:t xml:space="preserve"> was administered to these quartz grains after bleaching their natural signals using the same procedure described above.</w:t>
      </w:r>
      <w:r w:rsidR="00EA0A75">
        <w:rPr>
          <w:bCs/>
          <w:lang w:val="en-AU"/>
        </w:rPr>
        <w:t xml:space="preserve"> </w:t>
      </w:r>
      <w:r w:rsidRPr="00F85008">
        <w:t>This administered dose was chosen as being</w:t>
      </w:r>
      <w:r w:rsidR="008826A2">
        <w:t xml:space="preserve"> broadly</w:t>
      </w:r>
      <w:r w:rsidRPr="00F85008">
        <w:t xml:space="preserve"> </w:t>
      </w:r>
      <w:proofErr w:type="gramStart"/>
      <w:r w:rsidR="009E5CFF">
        <w:t>similar</w:t>
      </w:r>
      <w:r w:rsidRPr="00F85008">
        <w:t xml:space="preserve"> to</w:t>
      </w:r>
      <w:proofErr w:type="gramEnd"/>
      <w:r w:rsidRPr="00F85008">
        <w:t xml:space="preserve"> the expected </w:t>
      </w:r>
      <w:r w:rsidR="00636877">
        <w:t xml:space="preserve">mean </w:t>
      </w:r>
      <w:r w:rsidRPr="00F85008">
        <w:t xml:space="preserve">natural dose of </w:t>
      </w:r>
      <w:r w:rsidR="008826A2" w:rsidRPr="008826A2">
        <w:t>LM17188-03</w:t>
      </w:r>
      <w:r w:rsidRPr="00F85008">
        <w:t>, as determined from preliminary D</w:t>
      </w:r>
      <w:r w:rsidRPr="00F85008">
        <w:rPr>
          <w:vertAlign w:val="subscript"/>
        </w:rPr>
        <w:t>e</w:t>
      </w:r>
      <w:r w:rsidRPr="00F85008">
        <w:t xml:space="preserve"> measurements made on 100 grains of </w:t>
      </w:r>
      <w:r w:rsidR="00EA0A75">
        <w:t>this</w:t>
      </w:r>
      <w:r w:rsidRPr="00F85008">
        <w:t xml:space="preserve"> sample.</w:t>
      </w:r>
      <w:r w:rsidR="00636877">
        <w:t xml:space="preserve"> </w:t>
      </w:r>
      <w:r w:rsidR="00636877" w:rsidRPr="00636877">
        <w:rPr>
          <w:bCs/>
        </w:rPr>
        <w:t xml:space="preserve">The single-grain OSL dose recovery test yielded a mean </w:t>
      </w:r>
      <w:r w:rsidR="00636877">
        <w:rPr>
          <w:bCs/>
        </w:rPr>
        <w:t>measured</w:t>
      </w:r>
      <w:r w:rsidR="00636877" w:rsidRPr="00636877">
        <w:rPr>
          <w:bCs/>
        </w:rPr>
        <w:t>-to-given dose ratio of 1.0</w:t>
      </w:r>
      <w:r w:rsidR="008826A2">
        <w:rPr>
          <w:bCs/>
        </w:rPr>
        <w:t>0</w:t>
      </w:r>
      <w:r w:rsidR="00636877" w:rsidRPr="00636877">
        <w:rPr>
          <w:bCs/>
        </w:rPr>
        <w:t xml:space="preserve"> ± 0.0</w:t>
      </w:r>
      <w:r w:rsidR="009E5CFF">
        <w:rPr>
          <w:bCs/>
        </w:rPr>
        <w:t>3</w:t>
      </w:r>
      <w:r w:rsidR="00636877" w:rsidRPr="00636877">
        <w:rPr>
          <w:bCs/>
        </w:rPr>
        <w:t xml:space="preserve"> </w:t>
      </w:r>
      <w:r w:rsidR="00636877">
        <w:rPr>
          <w:bCs/>
        </w:rPr>
        <w:t>(</w:t>
      </w:r>
      <w:r w:rsidR="00636877" w:rsidRPr="00636877">
        <w:rPr>
          <w:bCs/>
          <w:i/>
        </w:rPr>
        <w:t>n</w:t>
      </w:r>
      <w:r w:rsidR="00636877">
        <w:rPr>
          <w:bCs/>
        </w:rPr>
        <w:t xml:space="preserve"> = </w:t>
      </w:r>
      <w:r w:rsidR="008826A2">
        <w:rPr>
          <w:bCs/>
        </w:rPr>
        <w:t>90</w:t>
      </w:r>
      <w:r w:rsidR="00636877">
        <w:rPr>
          <w:bCs/>
        </w:rPr>
        <w:t xml:space="preserve"> accepted grains) </w:t>
      </w:r>
      <w:r w:rsidR="00636877" w:rsidRPr="00636877">
        <w:rPr>
          <w:bCs/>
        </w:rPr>
        <w:t xml:space="preserve">and an overdispersion value of </w:t>
      </w:r>
      <w:r w:rsidR="008826A2">
        <w:rPr>
          <w:bCs/>
        </w:rPr>
        <w:t>15</w:t>
      </w:r>
      <w:r w:rsidR="00636877" w:rsidRPr="00636877">
        <w:rPr>
          <w:bCs/>
        </w:rPr>
        <w:t xml:space="preserve"> ± </w:t>
      </w:r>
      <w:r w:rsidR="008826A2">
        <w:rPr>
          <w:bCs/>
        </w:rPr>
        <w:t>3</w:t>
      </w:r>
      <w:r w:rsidR="00636877" w:rsidRPr="00636877">
        <w:rPr>
          <w:bCs/>
        </w:rPr>
        <w:t>%</w:t>
      </w:r>
      <w:r w:rsidR="006B1FE8" w:rsidRPr="006B1FE8">
        <w:rPr>
          <w:b/>
          <w:bCs/>
        </w:rPr>
        <w:t xml:space="preserve"> </w:t>
      </w:r>
      <w:r w:rsidR="006B1FE8" w:rsidRPr="006B1FE8">
        <w:rPr>
          <w:bCs/>
        </w:rPr>
        <w:t>(</w:t>
      </w:r>
      <w:r w:rsidR="006B1FE8" w:rsidRPr="00870E12">
        <w:rPr>
          <w:b/>
          <w:bCs/>
        </w:rPr>
        <w:t>Fig</w:t>
      </w:r>
      <w:r w:rsidR="006B1FE8">
        <w:rPr>
          <w:b/>
          <w:bCs/>
        </w:rPr>
        <w:t>ure</w:t>
      </w:r>
      <w:r w:rsidR="006B1FE8" w:rsidRPr="00870E12">
        <w:rPr>
          <w:b/>
          <w:bCs/>
        </w:rPr>
        <w:t xml:space="preserve"> S1</w:t>
      </w:r>
      <w:r w:rsidR="006B1FE8" w:rsidRPr="006B1FE8">
        <w:rPr>
          <w:bCs/>
        </w:rPr>
        <w:t>)</w:t>
      </w:r>
      <w:r w:rsidR="00636877" w:rsidRPr="00636877">
        <w:rPr>
          <w:bCs/>
        </w:rPr>
        <w:t>.</w:t>
      </w:r>
      <w:r w:rsidR="00527FE9">
        <w:rPr>
          <w:bCs/>
        </w:rPr>
        <w:t xml:space="preserve"> </w:t>
      </w:r>
      <w:r w:rsidR="00527FE9">
        <w:rPr>
          <w:bCs/>
          <w:lang w:val="en-AU"/>
        </w:rPr>
        <w:t>T</w:t>
      </w:r>
      <w:r w:rsidR="00527FE9" w:rsidRPr="00527FE9">
        <w:rPr>
          <w:bCs/>
          <w:lang w:val="en-AU"/>
        </w:rPr>
        <w:t>hese dose-recovery results confirm the general suitability of the SAR procedure and quality-assurance criteria (see next paragraph) for single-grain D</w:t>
      </w:r>
      <w:r w:rsidR="00527FE9" w:rsidRPr="00527FE9">
        <w:rPr>
          <w:bCs/>
          <w:vertAlign w:val="subscript"/>
          <w:lang w:val="en-AU"/>
        </w:rPr>
        <w:t>e</w:t>
      </w:r>
      <w:r w:rsidR="00527FE9" w:rsidRPr="00527FE9">
        <w:rPr>
          <w:bCs/>
          <w:lang w:val="en-AU"/>
        </w:rPr>
        <w:t xml:space="preserve"> estimation </w:t>
      </w:r>
      <w:r w:rsidR="00527FE9" w:rsidRPr="00527FE9">
        <w:rPr>
          <w:bCs/>
        </w:rPr>
        <w:t>over the natural dose range</w:t>
      </w:r>
      <w:r w:rsidR="00527FE9">
        <w:rPr>
          <w:bCs/>
        </w:rPr>
        <w:t>.</w:t>
      </w:r>
      <w:r w:rsidR="00527FE9" w:rsidRPr="00527FE9">
        <w:rPr>
          <w:bCs/>
          <w:lang w:val="en-AU"/>
        </w:rPr>
        <w:t xml:space="preserve"> They also provide a minimum estimate of the intrinsic single-grain D</w:t>
      </w:r>
      <w:r w:rsidR="00527FE9" w:rsidRPr="00527FE9">
        <w:rPr>
          <w:bCs/>
          <w:vertAlign w:val="subscript"/>
          <w:lang w:val="en-AU"/>
        </w:rPr>
        <w:t>e</w:t>
      </w:r>
      <w:r w:rsidR="00527FE9" w:rsidRPr="00527FE9">
        <w:rPr>
          <w:bCs/>
          <w:lang w:val="en-AU"/>
        </w:rPr>
        <w:t xml:space="preserve"> scatter and overdispersion that is expected </w:t>
      </w:r>
      <w:r w:rsidR="00527FE9" w:rsidRPr="00527FE9">
        <w:rPr>
          <w:bCs/>
          <w:lang w:val="en-AU"/>
        </w:rPr>
        <w:lastRenderedPageBreak/>
        <w:t>to originate from the laboratory procedures themselves, and from grain-to-grain variations in luminescence responses to the fixed SAR conditions.</w:t>
      </w:r>
    </w:p>
    <w:p w14:paraId="0FFE61D8" w14:textId="686D3D16" w:rsidR="00636877" w:rsidRDefault="00636877" w:rsidP="00F85008">
      <w:pPr>
        <w:jc w:val="both"/>
        <w:rPr>
          <w:bCs/>
        </w:rPr>
      </w:pPr>
    </w:p>
    <w:p w14:paraId="674501E2" w14:textId="246067C9" w:rsidR="002B0928" w:rsidRDefault="00FD5BA4" w:rsidP="002B0928">
      <w:pPr>
        <w:jc w:val="both"/>
        <w:rPr>
          <w:lang w:val="en-AU"/>
        </w:rPr>
      </w:pPr>
      <w:r w:rsidRPr="00FD5BA4">
        <w:rPr>
          <w:lang w:val="en-AU"/>
        </w:rPr>
        <w:t xml:space="preserve">Between </w:t>
      </w:r>
      <w:r w:rsidR="009E5CFF">
        <w:rPr>
          <w:lang w:val="en-AU"/>
        </w:rPr>
        <w:t>2</w:t>
      </w:r>
      <w:r w:rsidR="00527FE9">
        <w:rPr>
          <w:lang w:val="en-AU"/>
        </w:rPr>
        <w:t>2</w:t>
      </w:r>
      <w:r w:rsidRPr="00FD5BA4">
        <w:rPr>
          <w:lang w:val="en-AU"/>
        </w:rPr>
        <w:t xml:space="preserve">00 and </w:t>
      </w:r>
      <w:r w:rsidR="009E5CFF">
        <w:rPr>
          <w:lang w:val="en-AU"/>
        </w:rPr>
        <w:t>3</w:t>
      </w:r>
      <w:r w:rsidR="00527FE9">
        <w:rPr>
          <w:lang w:val="en-AU"/>
        </w:rPr>
        <w:t>6</w:t>
      </w:r>
      <w:r w:rsidRPr="00FD5BA4">
        <w:rPr>
          <w:lang w:val="en-AU"/>
        </w:rPr>
        <w:t xml:space="preserve">00 </w:t>
      </w:r>
      <w:proofErr w:type="gramStart"/>
      <w:r w:rsidRPr="00FD5BA4">
        <w:rPr>
          <w:lang w:val="en-AU"/>
        </w:rPr>
        <w:t>single-grain</w:t>
      </w:r>
      <w:proofErr w:type="gramEnd"/>
      <w:r w:rsidRPr="00FD5BA4">
        <w:rPr>
          <w:lang w:val="en-AU"/>
        </w:rPr>
        <w:t xml:space="preserve"> D</w:t>
      </w:r>
      <w:r w:rsidRPr="00FD5BA4">
        <w:rPr>
          <w:vertAlign w:val="subscript"/>
          <w:lang w:val="en-AU"/>
        </w:rPr>
        <w:t>e</w:t>
      </w:r>
      <w:r w:rsidRPr="00FD5BA4">
        <w:rPr>
          <w:lang w:val="en-AU"/>
        </w:rPr>
        <w:t xml:space="preserve"> measurements were made for each sample. </w:t>
      </w:r>
      <w:r w:rsidR="00D83967" w:rsidRPr="00D83967">
        <w:rPr>
          <w:lang w:val="en-US"/>
        </w:rPr>
        <w:t>Sensitivity-corrected dose-response curves were constructed using the first 0.</w:t>
      </w:r>
      <w:r w:rsidR="008D6B4E">
        <w:rPr>
          <w:lang w:val="en-US"/>
        </w:rPr>
        <w:t>17</w:t>
      </w:r>
      <w:r w:rsidR="00D83967" w:rsidRPr="00D83967">
        <w:rPr>
          <w:lang w:val="en-US"/>
        </w:rPr>
        <w:t xml:space="preserve"> s of each OSL stimulation after subtracting a mean background count obtained from the last 0.25 s of the signal.</w:t>
      </w:r>
      <w:r w:rsidR="00D83967">
        <w:rPr>
          <w:lang w:val="en-US"/>
        </w:rPr>
        <w:t xml:space="preserve"> </w:t>
      </w:r>
      <w:r w:rsidR="002B0928" w:rsidRPr="002B0928">
        <w:rPr>
          <w:lang w:val="en-AU"/>
        </w:rPr>
        <w:t>Single-grain OSL D</w:t>
      </w:r>
      <w:r w:rsidR="002B0928" w:rsidRPr="002B0928">
        <w:rPr>
          <w:vertAlign w:val="subscript"/>
          <w:lang w:val="en-AU"/>
        </w:rPr>
        <w:t>e</w:t>
      </w:r>
      <w:r w:rsidR="002B0928" w:rsidRPr="002B0928">
        <w:rPr>
          <w:lang w:val="en-AU"/>
        </w:rPr>
        <w:t xml:space="preserve"> estimates were rejected from further consideration if they exhibited one or more of the following properties: (i) weak OSL signals (i.e., the net intensity of the natural test-dose signal (T</w:t>
      </w:r>
      <w:r w:rsidR="002B0928" w:rsidRPr="002B0928">
        <w:rPr>
          <w:vertAlign w:val="subscript"/>
          <w:lang w:val="en-AU"/>
        </w:rPr>
        <w:t>n</w:t>
      </w:r>
      <w:r w:rsidR="002B0928" w:rsidRPr="002B0928">
        <w:rPr>
          <w:lang w:val="en-AU"/>
        </w:rPr>
        <w:t>) was less than three times the standard deviation of the late-light background signal); (ii) poor recycling ratios (i.e., the ratios of sensitivity-corrected luminescence responses (L</w:t>
      </w:r>
      <w:r w:rsidR="002B0928" w:rsidRPr="002B0928">
        <w:rPr>
          <w:vertAlign w:val="subscript"/>
          <w:lang w:val="en-AU"/>
        </w:rPr>
        <w:t>x</w:t>
      </w:r>
      <w:r w:rsidR="002B0928" w:rsidRPr="002B0928">
        <w:rPr>
          <w:lang w:val="en-AU"/>
        </w:rPr>
        <w:t>/T</w:t>
      </w:r>
      <w:r w:rsidR="002B0928" w:rsidRPr="002B0928">
        <w:rPr>
          <w:vertAlign w:val="subscript"/>
          <w:lang w:val="en-AU"/>
        </w:rPr>
        <w:t>x</w:t>
      </w:r>
      <w:r w:rsidR="002B0928" w:rsidRPr="002B0928">
        <w:rPr>
          <w:lang w:val="en-AU"/>
        </w:rPr>
        <w:t xml:space="preserve">) for two identical regenerative doses were not consistent with unity at 2σ); (iii) high levels of signal recuperation / charge transfer between SAR cycles (i.e., the sensitivity-corrected luminescence response of the 0 </w:t>
      </w:r>
      <w:proofErr w:type="spellStart"/>
      <w:r w:rsidR="002B0928" w:rsidRPr="002B0928">
        <w:rPr>
          <w:lang w:val="en-AU"/>
        </w:rPr>
        <w:t>Gy</w:t>
      </w:r>
      <w:proofErr w:type="spellEnd"/>
      <w:r w:rsidR="002B0928" w:rsidRPr="002B0928">
        <w:rPr>
          <w:lang w:val="en-AU"/>
        </w:rPr>
        <w:t xml:space="preserve"> regenerative dose point amounted to &gt;5% of the sensitivity-corrected natural signal response (L</w:t>
      </w:r>
      <w:r w:rsidR="002B0928" w:rsidRPr="002B0928">
        <w:rPr>
          <w:vertAlign w:val="subscript"/>
          <w:lang w:val="en-AU"/>
        </w:rPr>
        <w:t>n</w:t>
      </w:r>
      <w:r w:rsidR="002B0928" w:rsidRPr="002B0928">
        <w:rPr>
          <w:lang w:val="en-AU"/>
        </w:rPr>
        <w:t>/T</w:t>
      </w:r>
      <w:r w:rsidR="002B0928" w:rsidRPr="002B0928">
        <w:rPr>
          <w:vertAlign w:val="subscript"/>
          <w:lang w:val="en-AU"/>
        </w:rPr>
        <w:t>n</w:t>
      </w:r>
      <w:r w:rsidR="002B0928" w:rsidRPr="002B0928">
        <w:rPr>
          <w:lang w:val="en-AU"/>
        </w:rPr>
        <w:t xml:space="preserve">) at 2σ); (iv) </w:t>
      </w:r>
      <w:r w:rsidR="00D83967" w:rsidRPr="00D83967">
        <w:rPr>
          <w:bCs/>
          <w:lang w:val="en-AU"/>
        </w:rPr>
        <w:t>poorly defined or non-monotonic dose-response curves (i.e., those displaying no discernible dose-response curve, or a zero (flat) or negative response with increasing dose) and dose-response curves displaying very scattered L</w:t>
      </w:r>
      <w:r w:rsidR="00D83967" w:rsidRPr="00D83967">
        <w:rPr>
          <w:bCs/>
          <w:vertAlign w:val="subscript"/>
          <w:lang w:val="en-AU"/>
        </w:rPr>
        <w:t>x</w:t>
      </w:r>
      <w:r w:rsidR="00D83967" w:rsidRPr="00D83967">
        <w:rPr>
          <w:bCs/>
          <w:lang w:val="en-AU"/>
        </w:rPr>
        <w:t>/T</w:t>
      </w:r>
      <w:r w:rsidR="00D83967" w:rsidRPr="00D83967">
        <w:rPr>
          <w:bCs/>
          <w:vertAlign w:val="subscript"/>
          <w:lang w:val="en-AU"/>
        </w:rPr>
        <w:t>x</w:t>
      </w:r>
      <w:r w:rsidR="00D83967" w:rsidRPr="00D83967">
        <w:rPr>
          <w:bCs/>
          <w:lang w:val="en-AU"/>
        </w:rPr>
        <w:t xml:space="preserve"> values (i.e., those that could not be successfully fitted with the Monte Carlo procedure and, hence, did not yield finite D</w:t>
      </w:r>
      <w:r w:rsidR="00D83967" w:rsidRPr="00D83967">
        <w:rPr>
          <w:bCs/>
          <w:vertAlign w:val="subscript"/>
          <w:lang w:val="en-AU"/>
        </w:rPr>
        <w:t>e</w:t>
      </w:r>
      <w:r w:rsidR="00D83967" w:rsidRPr="00D83967">
        <w:rPr>
          <w:bCs/>
          <w:lang w:val="en-AU"/>
        </w:rPr>
        <w:t xml:space="preserve"> values and uncertainty ranges)</w:t>
      </w:r>
      <w:r w:rsidR="002B0928" w:rsidRPr="002B0928">
        <w:rPr>
          <w:lang w:val="en-AU"/>
        </w:rPr>
        <w:t>; (v) saturated or non-intersecting natural OSL signals (i.e., L</w:t>
      </w:r>
      <w:r w:rsidR="002B0928" w:rsidRPr="002B0928">
        <w:rPr>
          <w:vertAlign w:val="subscript"/>
          <w:lang w:val="en-AU"/>
        </w:rPr>
        <w:t>n</w:t>
      </w:r>
      <w:r w:rsidR="002B0928" w:rsidRPr="002B0928">
        <w:rPr>
          <w:lang w:val="en-AU"/>
        </w:rPr>
        <w:t>/T</w:t>
      </w:r>
      <w:r w:rsidR="002B0928" w:rsidRPr="002B0928">
        <w:rPr>
          <w:vertAlign w:val="subscript"/>
          <w:lang w:val="en-AU"/>
        </w:rPr>
        <w:t>n</w:t>
      </w:r>
      <w:r w:rsidR="002B0928" w:rsidRPr="002B0928">
        <w:rPr>
          <w:lang w:val="en-AU"/>
        </w:rPr>
        <w:t xml:space="preserve"> values equal to, or greater than, the </w:t>
      </w:r>
      <w:r w:rsidR="002B0928" w:rsidRPr="002B0928">
        <w:rPr>
          <w:i/>
          <w:lang w:val="en-AU"/>
        </w:rPr>
        <w:t>I</w:t>
      </w:r>
      <w:r w:rsidR="002B0928" w:rsidRPr="002B0928">
        <w:rPr>
          <w:i/>
          <w:vertAlign w:val="subscript"/>
          <w:lang w:val="en-AU"/>
        </w:rPr>
        <w:t>max</w:t>
      </w:r>
      <w:r w:rsidR="002B0928" w:rsidRPr="002B0928">
        <w:rPr>
          <w:lang w:val="en-AU"/>
        </w:rPr>
        <w:t xml:space="preserve"> saturation limit of the dose-response curve at 2σ); </w:t>
      </w:r>
      <w:r w:rsidR="002B0928" w:rsidRPr="002B0928">
        <w:t>(vi) extrapolated natural signals (i.e. L</w:t>
      </w:r>
      <w:r w:rsidR="002B0928" w:rsidRPr="002B0928">
        <w:rPr>
          <w:vertAlign w:val="subscript"/>
        </w:rPr>
        <w:t>n</w:t>
      </w:r>
      <w:r w:rsidR="002B0928" w:rsidRPr="002B0928">
        <w:t>/T</w:t>
      </w:r>
      <w:r w:rsidR="002B0928" w:rsidRPr="002B0928">
        <w:rPr>
          <w:vertAlign w:val="subscript"/>
        </w:rPr>
        <w:t>n</w:t>
      </w:r>
      <w:r w:rsidR="002B0928" w:rsidRPr="002B0928">
        <w:t xml:space="preserve"> values lying more than 2σ beyond the L</w:t>
      </w:r>
      <w:r w:rsidR="002B0928" w:rsidRPr="002B0928">
        <w:rPr>
          <w:vertAlign w:val="subscript"/>
        </w:rPr>
        <w:t>x</w:t>
      </w:r>
      <w:r w:rsidR="002B0928" w:rsidRPr="002B0928">
        <w:t>/T</w:t>
      </w:r>
      <w:r w:rsidR="002B0928" w:rsidRPr="002B0928">
        <w:rPr>
          <w:vertAlign w:val="subscript"/>
        </w:rPr>
        <w:t>x</w:t>
      </w:r>
      <w:r w:rsidR="002B0928" w:rsidRPr="002B0928">
        <w:t xml:space="preserve"> value of the largest regenerative-dose administered in the SAR procedure); </w:t>
      </w:r>
      <w:r w:rsidR="002B0928" w:rsidRPr="002B0928">
        <w:rPr>
          <w:lang w:val="en-AU"/>
        </w:rPr>
        <w:t>(vii) contamination by feldspar grains or inclusions (i.e., the ratio of the L</w:t>
      </w:r>
      <w:r w:rsidR="002B0928" w:rsidRPr="002B0928">
        <w:rPr>
          <w:vertAlign w:val="subscript"/>
          <w:lang w:val="en-AU"/>
        </w:rPr>
        <w:t>x</w:t>
      </w:r>
      <w:r w:rsidR="002B0928" w:rsidRPr="002B0928">
        <w:rPr>
          <w:lang w:val="en-AU"/>
        </w:rPr>
        <w:t>/T</w:t>
      </w:r>
      <w:r w:rsidR="002B0928" w:rsidRPr="002B0928">
        <w:rPr>
          <w:vertAlign w:val="subscript"/>
          <w:lang w:val="en-AU"/>
        </w:rPr>
        <w:t>x</w:t>
      </w:r>
      <w:r w:rsidR="002B0928" w:rsidRPr="002B0928">
        <w:rPr>
          <w:lang w:val="en-AU"/>
        </w:rPr>
        <w:t xml:space="preserve"> values obtained for two identical regenerative doses measured with and without prior </w:t>
      </w:r>
      <w:r w:rsidR="000240BA">
        <w:rPr>
          <w:lang w:val="en-AU"/>
        </w:rPr>
        <w:t>infrared</w:t>
      </w:r>
      <w:r w:rsidR="002B0928" w:rsidRPr="002B0928">
        <w:rPr>
          <w:lang w:val="en-AU"/>
        </w:rPr>
        <w:t xml:space="preserve"> stimulation (OSL IR depletion ratio; Duller, 2003) was less than unity at 2σ). </w:t>
      </w:r>
      <w:r w:rsidR="007474AD" w:rsidRPr="007474AD">
        <w:t>The OSL grain classification statistics obtained for each sample after applying the</w:t>
      </w:r>
      <w:r w:rsidR="007474AD">
        <w:t>se</w:t>
      </w:r>
      <w:r w:rsidR="007474AD" w:rsidRPr="007474AD">
        <w:t xml:space="preserve"> SAR quality assurance criteria are summarised in </w:t>
      </w:r>
      <w:r w:rsidR="007474AD" w:rsidRPr="007474AD">
        <w:rPr>
          <w:b/>
        </w:rPr>
        <w:t>Table S2</w:t>
      </w:r>
      <w:r w:rsidR="007474AD" w:rsidRPr="007474AD">
        <w:t>.</w:t>
      </w:r>
    </w:p>
    <w:p w14:paraId="5D6638AE" w14:textId="77777777" w:rsidR="002B0928" w:rsidRPr="002B0928" w:rsidRDefault="002B0928" w:rsidP="002B0928">
      <w:pPr>
        <w:jc w:val="both"/>
      </w:pPr>
    </w:p>
    <w:p w14:paraId="35995589" w14:textId="2F34E093" w:rsidR="002B0928" w:rsidRPr="002B0928" w:rsidRDefault="002B0928" w:rsidP="002B0928">
      <w:pPr>
        <w:jc w:val="both"/>
      </w:pPr>
      <w:r w:rsidRPr="002B0928">
        <w:t xml:space="preserve">Individual </w:t>
      </w:r>
      <w:r w:rsidR="007474AD">
        <w:t xml:space="preserve">and sample-averaged </w:t>
      </w:r>
      <w:r w:rsidRPr="002B0928">
        <w:t>D</w:t>
      </w:r>
      <w:r w:rsidRPr="002B0928">
        <w:rPr>
          <w:vertAlign w:val="subscript"/>
        </w:rPr>
        <w:t>e</w:t>
      </w:r>
      <w:r w:rsidRPr="002B0928">
        <w:t xml:space="preserve"> estimates are presented </w:t>
      </w:r>
      <w:r w:rsidR="00851666">
        <w:t>throughout this paper</w:t>
      </w:r>
      <w:r w:rsidR="007474AD" w:rsidRPr="007474AD">
        <w:t xml:space="preserve"> </w:t>
      </w:r>
      <w:r w:rsidR="007474AD">
        <w:t>with their 1</w:t>
      </w:r>
      <w:r w:rsidR="007474AD">
        <w:rPr>
          <w:rFonts w:ascii="Calibri" w:hAnsi="Calibri"/>
        </w:rPr>
        <w:t>σ</w:t>
      </w:r>
      <w:r w:rsidR="007474AD">
        <w:t xml:space="preserve"> uncertainties</w:t>
      </w:r>
      <w:r w:rsidRPr="002B0928">
        <w:t>, which are derived from three sources of uncertainty: (i) a random uncertainty term arising from photon counting statistics for each OSL measurement, calculated using Eq. 3 of Galbraith (2002); (ii) an empirically determined instrument re</w:t>
      </w:r>
      <w:r w:rsidR="00851666">
        <w:t>producibility uncertainty of 1.9% or 1.5</w:t>
      </w:r>
      <w:r w:rsidRPr="002B0928">
        <w:t xml:space="preserve">% for each single-grain measurement (calculated </w:t>
      </w:r>
      <w:r w:rsidR="00851666">
        <w:t xml:space="preserve">specifically </w:t>
      </w:r>
      <w:r w:rsidRPr="002B0928">
        <w:t xml:space="preserve">for the </w:t>
      </w:r>
      <w:r w:rsidR="00851666">
        <w:t>two</w:t>
      </w:r>
      <w:r w:rsidRPr="002B0928">
        <w:t xml:space="preserve"> </w:t>
      </w:r>
      <w:proofErr w:type="spellStart"/>
      <w:r w:rsidRPr="002B0928">
        <w:rPr>
          <w:bCs/>
        </w:rPr>
        <w:t>Risø</w:t>
      </w:r>
      <w:proofErr w:type="spellEnd"/>
      <w:r w:rsidRPr="002B0928">
        <w:t xml:space="preserve"> reader</w:t>
      </w:r>
      <w:r w:rsidR="00851666">
        <w:t>s</w:t>
      </w:r>
      <w:r w:rsidRPr="002B0928">
        <w:t xml:space="preserve"> used in this study according to the approach outlined in Jacobs et al., 2006</w:t>
      </w:r>
      <w:r w:rsidR="003B6F4A">
        <w:t>a</w:t>
      </w:r>
      <w:r w:rsidRPr="002B0928">
        <w:t>); and (iii) a dose-response curve fitting uncertainty determined using 1000 iterations of the Monte Carlo method described by Duller (2007) and implemented in Analyst</w:t>
      </w:r>
      <w:r w:rsidR="00087F16">
        <w:t xml:space="preserve"> v4</w:t>
      </w:r>
      <w:r w:rsidRPr="002B0928">
        <w:t>.</w:t>
      </w:r>
    </w:p>
    <w:p w14:paraId="567338F1" w14:textId="77777777" w:rsidR="000B7806" w:rsidRDefault="000B7806" w:rsidP="000B7806">
      <w:pPr>
        <w:jc w:val="both"/>
      </w:pPr>
    </w:p>
    <w:p w14:paraId="1D5C5D07" w14:textId="1BE32577" w:rsidR="000B7806" w:rsidRPr="002D4F70" w:rsidRDefault="000B7806" w:rsidP="000B7806">
      <w:pPr>
        <w:jc w:val="both"/>
        <w:rPr>
          <w:lang w:val="en-AU"/>
        </w:rPr>
      </w:pPr>
      <w:r w:rsidRPr="00D50D2F">
        <w:t xml:space="preserve">Representative OSL dose-response and decay curve for grains that passed the quality assurance criteria are shown in </w:t>
      </w:r>
      <w:r w:rsidRPr="00D50D2F">
        <w:rPr>
          <w:b/>
          <w:bCs/>
        </w:rPr>
        <w:t>Fig</w:t>
      </w:r>
      <w:r>
        <w:rPr>
          <w:b/>
          <w:bCs/>
        </w:rPr>
        <w:t>ure</w:t>
      </w:r>
      <w:r w:rsidRPr="00D50D2F">
        <w:rPr>
          <w:b/>
          <w:bCs/>
        </w:rPr>
        <w:t xml:space="preserve"> </w:t>
      </w:r>
      <w:r>
        <w:rPr>
          <w:b/>
          <w:bCs/>
        </w:rPr>
        <w:t>S2</w:t>
      </w:r>
      <w:r w:rsidRPr="00D50D2F">
        <w:t xml:space="preserve">. </w:t>
      </w:r>
      <w:proofErr w:type="gramStart"/>
      <w:r w:rsidRPr="00D50D2F">
        <w:t>The majority of</w:t>
      </w:r>
      <w:proofErr w:type="gramEnd"/>
      <w:r w:rsidRPr="00D50D2F">
        <w:t xml:space="preserve"> accepted grains display rapidly decaying OSL curves (reaching background levels within 0.5 s), which are characteristic of quartz signals dominated by the most readily bleached (so-called ‘fast’) OSL component </w:t>
      </w:r>
      <w:r w:rsidRPr="00D50D2F">
        <w:rPr>
          <w:b/>
          <w:bCs/>
        </w:rPr>
        <w:t>(Fig</w:t>
      </w:r>
      <w:r>
        <w:rPr>
          <w:b/>
          <w:bCs/>
        </w:rPr>
        <w:t>ure</w:t>
      </w:r>
      <w:r w:rsidRPr="00D50D2F">
        <w:rPr>
          <w:b/>
          <w:bCs/>
        </w:rPr>
        <w:t xml:space="preserve"> </w:t>
      </w:r>
      <w:r>
        <w:rPr>
          <w:b/>
          <w:bCs/>
        </w:rPr>
        <w:t>S2</w:t>
      </w:r>
      <w:r w:rsidRPr="00D50D2F">
        <w:rPr>
          <w:bCs/>
        </w:rPr>
        <w:t xml:space="preserve"> – compare OSL decay curve shape for a fast-dominated </w:t>
      </w:r>
      <w:proofErr w:type="spellStart"/>
      <w:r w:rsidRPr="00D50D2F">
        <w:rPr>
          <w:bCs/>
        </w:rPr>
        <w:t>Risø</w:t>
      </w:r>
      <w:proofErr w:type="spellEnd"/>
      <w:r w:rsidRPr="00D50D2F">
        <w:rPr>
          <w:bCs/>
        </w:rPr>
        <w:t xml:space="preserve"> calibration quartz grain; Hansen et al., 2015</w:t>
      </w:r>
      <w:r w:rsidRPr="00D50D2F">
        <w:t xml:space="preserve">). </w:t>
      </w:r>
      <w:r w:rsidRPr="004E32A4">
        <w:rPr>
          <w:lang w:val="en-AU"/>
        </w:rPr>
        <w:t>The single-grain OSL dose-response curves are generally well-represented by either a single saturating exponential function or a saturating exponential plus linear function, as has been widely reported for quartz grains with fast-dominated OSL signals (e.g., Yoshida et al., 2000; Jacobs et al., 2008; Arnold et al., 2011, 2016).</w:t>
      </w:r>
      <w:r w:rsidR="003000C9">
        <w:rPr>
          <w:lang w:val="en-AU"/>
        </w:rPr>
        <w:t xml:space="preserve"> </w:t>
      </w:r>
      <w:r w:rsidR="003000C9" w:rsidRPr="003000C9">
        <w:rPr>
          <w:lang w:val="en-AU"/>
        </w:rPr>
        <w:t>Individual sensitivity-corrected SAR dose-response curves were fitted with the function (either single saturating exponential or saturating exponential plus linear) that yielded the optimum statistical fit for each grain, which was determined from the sum of the squared fitting residuals divided by the number of dose points used to construct the dose-response curve.</w:t>
      </w:r>
      <w:r>
        <w:rPr>
          <w:lang w:val="en-AU"/>
        </w:rPr>
        <w:t xml:space="preserve"> </w:t>
      </w:r>
      <w:r w:rsidRPr="00D50D2F">
        <w:t xml:space="preserve">On average, </w:t>
      </w:r>
      <w:r w:rsidR="003D527E">
        <w:t>43</w:t>
      </w:r>
      <w:r w:rsidRPr="00D50D2F">
        <w:t>% of accepted grains per sample display moderately bright T</w:t>
      </w:r>
      <w:r w:rsidRPr="00D50D2F">
        <w:rPr>
          <w:vertAlign w:val="subscript"/>
        </w:rPr>
        <w:t>n</w:t>
      </w:r>
      <w:r w:rsidRPr="00D50D2F">
        <w:t xml:space="preserve"> (</w:t>
      </w:r>
      <w:r>
        <w:t>2</w:t>
      </w:r>
      <w:r w:rsidR="003000C9">
        <w:t>0</w:t>
      </w:r>
      <w:r w:rsidRPr="00D50D2F">
        <w:t xml:space="preserve"> </w:t>
      </w:r>
      <w:proofErr w:type="spellStart"/>
      <w:r w:rsidRPr="00D50D2F">
        <w:t>Gy</w:t>
      </w:r>
      <w:proofErr w:type="spellEnd"/>
      <w:r w:rsidRPr="00D50D2F">
        <w:t xml:space="preserve">) OSL signals of 100-1000 </w:t>
      </w:r>
      <w:proofErr w:type="spellStart"/>
      <w:r w:rsidRPr="00D50D2F">
        <w:t>cts</w:t>
      </w:r>
      <w:proofErr w:type="spellEnd"/>
      <w:r w:rsidRPr="00D50D2F">
        <w:t>/0.</w:t>
      </w:r>
      <w:r w:rsidR="008D6B4E">
        <w:t>17</w:t>
      </w:r>
      <w:r w:rsidRPr="00D50D2F">
        <w:t xml:space="preserve"> s (e.g., </w:t>
      </w:r>
      <w:r>
        <w:rPr>
          <w:b/>
        </w:rPr>
        <w:t>Fig</w:t>
      </w:r>
      <w:r w:rsidR="007853CA">
        <w:rPr>
          <w:b/>
        </w:rPr>
        <w:t>ure</w:t>
      </w:r>
      <w:r>
        <w:rPr>
          <w:b/>
        </w:rPr>
        <w:t xml:space="preserve"> </w:t>
      </w:r>
      <w:r w:rsidR="007853CA">
        <w:rPr>
          <w:b/>
        </w:rPr>
        <w:t>S</w:t>
      </w:r>
      <w:r>
        <w:rPr>
          <w:b/>
        </w:rPr>
        <w:t>2a</w:t>
      </w:r>
      <w:r w:rsidRPr="00D50D2F">
        <w:t xml:space="preserve">), and </w:t>
      </w:r>
      <w:r w:rsidR="003D527E">
        <w:t>5</w:t>
      </w:r>
      <w:r w:rsidRPr="00D50D2F">
        <w:t>% of accepted grains per sample have relatively bright T</w:t>
      </w:r>
      <w:r w:rsidRPr="00D50D2F">
        <w:rPr>
          <w:vertAlign w:val="subscript"/>
        </w:rPr>
        <w:t>n</w:t>
      </w:r>
      <w:r w:rsidRPr="00D50D2F">
        <w:t xml:space="preserve"> OSL signals of &gt;1000 </w:t>
      </w:r>
      <w:proofErr w:type="spellStart"/>
      <w:r w:rsidRPr="00D50D2F">
        <w:t>cts</w:t>
      </w:r>
      <w:proofErr w:type="spellEnd"/>
      <w:r w:rsidRPr="00D50D2F">
        <w:t>/0.</w:t>
      </w:r>
      <w:r w:rsidR="008D6B4E">
        <w:t>17</w:t>
      </w:r>
      <w:r w:rsidRPr="00D50D2F">
        <w:t xml:space="preserve"> s (e.g., </w:t>
      </w:r>
      <w:r>
        <w:rPr>
          <w:b/>
        </w:rPr>
        <w:t>Fig</w:t>
      </w:r>
      <w:r w:rsidR="007853CA">
        <w:rPr>
          <w:b/>
        </w:rPr>
        <w:t>ure</w:t>
      </w:r>
      <w:r>
        <w:rPr>
          <w:b/>
        </w:rPr>
        <w:t xml:space="preserve"> </w:t>
      </w:r>
      <w:r w:rsidR="007853CA">
        <w:rPr>
          <w:b/>
        </w:rPr>
        <w:t>S</w:t>
      </w:r>
      <w:r>
        <w:rPr>
          <w:b/>
        </w:rPr>
        <w:t>2b</w:t>
      </w:r>
      <w:r w:rsidRPr="00D50D2F">
        <w:t xml:space="preserve">). </w:t>
      </w:r>
      <w:r w:rsidR="003D527E">
        <w:t>Approximately half of the</w:t>
      </w:r>
      <w:r w:rsidR="007853CA">
        <w:t xml:space="preserve"> accepted grains </w:t>
      </w:r>
      <w:r w:rsidR="003D527E">
        <w:t xml:space="preserve">(52%) </w:t>
      </w:r>
      <w:r w:rsidR="007853CA">
        <w:t>have relatively dim T</w:t>
      </w:r>
      <w:r w:rsidR="007853CA" w:rsidRPr="007853CA">
        <w:rPr>
          <w:vertAlign w:val="subscript"/>
        </w:rPr>
        <w:t>n</w:t>
      </w:r>
      <w:r w:rsidR="007853CA">
        <w:t xml:space="preserve"> signal intensities of &lt;100 </w:t>
      </w:r>
      <w:proofErr w:type="spellStart"/>
      <w:r w:rsidR="007853CA">
        <w:t>cts</w:t>
      </w:r>
      <w:proofErr w:type="spellEnd"/>
      <w:r w:rsidR="007853CA">
        <w:t>/0.</w:t>
      </w:r>
      <w:r w:rsidR="008D6B4E">
        <w:t>17</w:t>
      </w:r>
      <w:r w:rsidR="007853CA">
        <w:t xml:space="preserve"> s </w:t>
      </w:r>
      <w:r w:rsidR="007853CA" w:rsidRPr="00D50D2F">
        <w:t xml:space="preserve">(e.g., </w:t>
      </w:r>
      <w:r w:rsidR="007853CA">
        <w:rPr>
          <w:b/>
        </w:rPr>
        <w:t>Figure S2</w:t>
      </w:r>
      <w:r w:rsidR="00591AFC">
        <w:rPr>
          <w:b/>
        </w:rPr>
        <w:t>d</w:t>
      </w:r>
      <w:r w:rsidR="007853CA" w:rsidRPr="00D50D2F">
        <w:t>)</w:t>
      </w:r>
      <w:r w:rsidR="007853CA">
        <w:t xml:space="preserve">, while </w:t>
      </w:r>
      <w:r w:rsidR="003D527E">
        <w:t>four of the five samples</w:t>
      </w:r>
      <w:r w:rsidR="004F687F">
        <w:t xml:space="preserve"> </w:t>
      </w:r>
      <w:r w:rsidRPr="00D50D2F">
        <w:t xml:space="preserve">also contain a small number </w:t>
      </w:r>
      <w:r>
        <w:t>(</w:t>
      </w:r>
      <w:r w:rsidR="003D527E">
        <w:t>≤</w:t>
      </w:r>
      <w:r>
        <w:t>1</w:t>
      </w:r>
      <w:r w:rsidRPr="00D50D2F">
        <w:t>%) of very bright accepted grains displaying T</w:t>
      </w:r>
      <w:r w:rsidRPr="00D50D2F">
        <w:rPr>
          <w:vertAlign w:val="subscript"/>
        </w:rPr>
        <w:t>n</w:t>
      </w:r>
      <w:r w:rsidRPr="00D50D2F">
        <w:t xml:space="preserve"> OSL signal intensities &gt;</w:t>
      </w:r>
      <w:r w:rsidR="004F687F">
        <w:t>5</w:t>
      </w:r>
      <w:r w:rsidRPr="00D50D2F">
        <w:t xml:space="preserve">,000 </w:t>
      </w:r>
      <w:proofErr w:type="spellStart"/>
      <w:r w:rsidRPr="00D50D2F">
        <w:t>cts</w:t>
      </w:r>
      <w:proofErr w:type="spellEnd"/>
      <w:r w:rsidRPr="00D50D2F">
        <w:t>/0.</w:t>
      </w:r>
      <w:r w:rsidR="008D6B4E">
        <w:t>17</w:t>
      </w:r>
      <w:r w:rsidRPr="00D50D2F">
        <w:t xml:space="preserve"> s </w:t>
      </w:r>
      <w:r w:rsidRPr="00D50D2F">
        <w:lastRenderedPageBreak/>
        <w:t xml:space="preserve">(e.g., </w:t>
      </w:r>
      <w:r>
        <w:rPr>
          <w:b/>
        </w:rPr>
        <w:t>Fig</w:t>
      </w:r>
      <w:r w:rsidR="0088368B">
        <w:rPr>
          <w:b/>
        </w:rPr>
        <w:t>ure</w:t>
      </w:r>
      <w:r>
        <w:rPr>
          <w:b/>
        </w:rPr>
        <w:t xml:space="preserve"> </w:t>
      </w:r>
      <w:r w:rsidR="0088368B">
        <w:rPr>
          <w:b/>
        </w:rPr>
        <w:t>S</w:t>
      </w:r>
      <w:r>
        <w:rPr>
          <w:b/>
        </w:rPr>
        <w:t>2</w:t>
      </w:r>
      <w:r w:rsidR="00591AFC">
        <w:rPr>
          <w:b/>
        </w:rPr>
        <w:t>c</w:t>
      </w:r>
      <w:r w:rsidRPr="00D50D2F">
        <w:t xml:space="preserve">). </w:t>
      </w:r>
      <w:r>
        <w:t xml:space="preserve">The average </w:t>
      </w:r>
      <w:r w:rsidRPr="00407EC3">
        <w:t>T</w:t>
      </w:r>
      <w:r w:rsidRPr="00407EC3">
        <w:rPr>
          <w:vertAlign w:val="subscript"/>
        </w:rPr>
        <w:t>n</w:t>
      </w:r>
      <w:r w:rsidRPr="00407EC3">
        <w:t xml:space="preserve"> OSL signal intensities</w:t>
      </w:r>
      <w:r w:rsidR="00FC73FE">
        <w:t xml:space="preserve"> </w:t>
      </w:r>
      <w:r w:rsidR="004F687F">
        <w:t xml:space="preserve">of </w:t>
      </w:r>
      <w:r w:rsidR="0074023F">
        <w:t>grains that passed the SAR quality assurance criteria</w:t>
      </w:r>
      <w:r w:rsidR="004F687F">
        <w:t xml:space="preserve"> is </w:t>
      </w:r>
      <w:r w:rsidR="003D527E">
        <w:t>315</w:t>
      </w:r>
      <w:r>
        <w:t xml:space="preserve"> </w:t>
      </w:r>
      <w:proofErr w:type="spellStart"/>
      <w:r>
        <w:t>cts</w:t>
      </w:r>
      <w:proofErr w:type="spellEnd"/>
      <w:r>
        <w:t>/0.</w:t>
      </w:r>
      <w:r w:rsidR="008D6B4E">
        <w:t>17</w:t>
      </w:r>
      <w:r>
        <w:t xml:space="preserve"> s for </w:t>
      </w:r>
      <w:r w:rsidR="004F687F">
        <w:t xml:space="preserve">the </w:t>
      </w:r>
      <w:r w:rsidR="003D527E">
        <w:t>five</w:t>
      </w:r>
      <w:r>
        <w:t xml:space="preserve"> sample</w:t>
      </w:r>
      <w:r w:rsidR="004F687F">
        <w:t>s</w:t>
      </w:r>
      <w:r>
        <w:t>.</w:t>
      </w:r>
    </w:p>
    <w:p w14:paraId="7B69A976" w14:textId="77777777" w:rsidR="00870E12" w:rsidRPr="008E3646" w:rsidRDefault="00870E12" w:rsidP="00870E12">
      <w:pPr>
        <w:jc w:val="both"/>
        <w:rPr>
          <w:iCs/>
          <w:lang w:val="en-AU"/>
        </w:rPr>
      </w:pPr>
    </w:p>
    <w:p w14:paraId="62018534" w14:textId="68E0C0B6" w:rsidR="008E3646" w:rsidRDefault="008E3646" w:rsidP="008E3646">
      <w:pPr>
        <w:jc w:val="both"/>
        <w:rPr>
          <w:lang w:val="en-AU"/>
        </w:rPr>
      </w:pPr>
      <w:r w:rsidRPr="008E3646">
        <w:rPr>
          <w:b/>
          <w:bCs/>
          <w:lang w:val="ca-ES"/>
        </w:rPr>
        <w:t xml:space="preserve">Table </w:t>
      </w:r>
      <w:r w:rsidR="00A56AED">
        <w:rPr>
          <w:b/>
          <w:bCs/>
          <w:lang w:val="ca-ES"/>
        </w:rPr>
        <w:t>3</w:t>
      </w:r>
      <w:r w:rsidRPr="008E3646">
        <w:rPr>
          <w:lang w:val="ca-ES"/>
        </w:rPr>
        <w:t xml:space="preserve"> summarises the environmental dose rate data for the single-grain OSL samples. </w:t>
      </w:r>
      <w:r w:rsidRPr="008E3646">
        <w:rPr>
          <w:lang w:val="en-AU"/>
        </w:rPr>
        <w:t>Where possible, environmental dose rates have been calculated using the same field gamma spectrometry and beta counting datasets as Santamaría et al. (2021). However, as detailed in the main text, it was necessary to make several amendments to the original dose rate calculations of these samples owing to the limited methodological details presented in Santamaría et al. (2021) and to ensure consistency with the single-grain OSL study performed previously at Hotel California. The e</w:t>
      </w:r>
      <w:r w:rsidRPr="008E3646">
        <w:rPr>
          <w:lang w:val="ca-ES"/>
        </w:rPr>
        <w:t>xternal g</w:t>
      </w:r>
      <w:proofErr w:type="spellStart"/>
      <w:r w:rsidRPr="008E3646">
        <w:rPr>
          <w:lang w:val="en-AU"/>
        </w:rPr>
        <w:t>amma</w:t>
      </w:r>
      <w:proofErr w:type="spellEnd"/>
      <w:r w:rsidRPr="008E3646">
        <w:rPr>
          <w:lang w:val="en-AU"/>
        </w:rPr>
        <w:t xml:space="preserve"> dose rates of all five samples have been determined from </w:t>
      </w:r>
      <w:r w:rsidRPr="008E3646">
        <w:rPr>
          <w:i/>
          <w:lang w:val="en-AU"/>
        </w:rPr>
        <w:t>in situ</w:t>
      </w:r>
      <w:r w:rsidRPr="008E3646">
        <w:rPr>
          <w:lang w:val="en-AU"/>
        </w:rPr>
        <w:t xml:space="preserve"> measurements made using a Canberra LaBr</w:t>
      </w:r>
      <w:proofErr w:type="gramStart"/>
      <w:r w:rsidRPr="008E3646">
        <w:rPr>
          <w:vertAlign w:val="subscript"/>
          <w:lang w:val="en-AU"/>
        </w:rPr>
        <w:t>3</w:t>
      </w:r>
      <w:r w:rsidRPr="008E3646">
        <w:rPr>
          <w:lang w:val="en-AU"/>
        </w:rPr>
        <w:t>:Ce</w:t>
      </w:r>
      <w:proofErr w:type="gramEnd"/>
      <w:r w:rsidRPr="008E3646">
        <w:rPr>
          <w:lang w:val="en-AU"/>
        </w:rPr>
        <w:t xml:space="preserve"> detector to account for any spatial heterogeneity in the surrounding (~30 cm diameter) gamma radiation field of each sample. The ‘energy windows’ approach described in Arnold et al. (2012b) and Duval and Arnold (2013) </w:t>
      </w:r>
      <w:proofErr w:type="gramStart"/>
      <w:r w:rsidRPr="008E3646">
        <w:rPr>
          <w:lang w:val="en-AU"/>
        </w:rPr>
        <w:t>was</w:t>
      </w:r>
      <w:proofErr w:type="gramEnd"/>
      <w:r w:rsidRPr="008E3646">
        <w:rPr>
          <w:lang w:val="en-AU"/>
        </w:rPr>
        <w:t xml:space="preserve"> used to derive individual estimates of U, Th and K concentrations from the field gamma-ray spectra collected in the Santamaría et al. (2021) multi-grain OSL study. </w:t>
      </w:r>
    </w:p>
    <w:p w14:paraId="06766C60" w14:textId="77777777" w:rsidR="008E3646" w:rsidRPr="008E3646" w:rsidRDefault="008E3646" w:rsidP="008E3646">
      <w:pPr>
        <w:jc w:val="both"/>
        <w:rPr>
          <w:lang w:val="en-AU"/>
        </w:rPr>
      </w:pPr>
    </w:p>
    <w:p w14:paraId="6F600B62" w14:textId="62A05F46" w:rsidR="008E3646" w:rsidRDefault="008E3646" w:rsidP="008E3646">
      <w:pPr>
        <w:jc w:val="both"/>
        <w:rPr>
          <w:lang w:val="en-AU"/>
        </w:rPr>
      </w:pPr>
      <w:r w:rsidRPr="008E3646">
        <w:rPr>
          <w:lang w:val="en-AU"/>
        </w:rPr>
        <w:t xml:space="preserve">The external beta dose rates of samples LM17188-01, LM17188-03 and LM17188-05 have been determined from measurements made using a </w:t>
      </w:r>
      <w:proofErr w:type="spellStart"/>
      <w:r w:rsidRPr="008E3646">
        <w:rPr>
          <w:lang w:val="en-AU"/>
        </w:rPr>
        <w:t>Risø</w:t>
      </w:r>
      <w:proofErr w:type="spellEnd"/>
      <w:r w:rsidRPr="008E3646">
        <w:rPr>
          <w:lang w:val="en-AU"/>
        </w:rPr>
        <w:t xml:space="preserve"> GM-25-5 beta counter (</w:t>
      </w:r>
      <w:proofErr w:type="spellStart"/>
      <w:r w:rsidRPr="008E3646">
        <w:rPr>
          <w:lang w:val="en-AU"/>
        </w:rPr>
        <w:t>Bøtter</w:t>
      </w:r>
      <w:proofErr w:type="spellEnd"/>
      <w:r w:rsidRPr="008E3646">
        <w:rPr>
          <w:lang w:val="en-AU"/>
        </w:rPr>
        <w:t xml:space="preserve">-Jensen and </w:t>
      </w:r>
      <w:proofErr w:type="spellStart"/>
      <w:r w:rsidRPr="008E3646">
        <w:rPr>
          <w:lang w:val="en-AU"/>
        </w:rPr>
        <w:t>Mejdahl</w:t>
      </w:r>
      <w:proofErr w:type="spellEnd"/>
      <w:r w:rsidRPr="008E3646">
        <w:rPr>
          <w:lang w:val="en-AU"/>
        </w:rPr>
        <w:t xml:space="preserve">, 1988) on dried and homogenised, bulk sediments collected directly from the OSL sampling positions. This </w:t>
      </w:r>
      <w:r w:rsidR="0050157C">
        <w:rPr>
          <w:lang w:val="en-AU"/>
        </w:rPr>
        <w:t xml:space="preserve">laboratory-based </w:t>
      </w:r>
      <w:r w:rsidRPr="008E3646">
        <w:rPr>
          <w:lang w:val="en-AU"/>
        </w:rPr>
        <w:t>approach was used to ensure that beta dose rates were derived from sample sizes that more closely approximate the very short (~2-3 mm) beta particle radiation fields affecting these samples. Background-subtracted count rates were measured for three aliquots of each sample and compared with net count rates obtained simultaneously for a loess sediment standard with known U, Th and K concentrations (Potts et al., 2003). Beta counting measurements were either not made directly on samples LM17188-02 and LM17188-04 as part of the Santamaría et al. (2021) study, or the measurements originally made on these sample</w:t>
      </w:r>
      <w:r w:rsidR="00FF7E3D">
        <w:rPr>
          <w:lang w:val="en-AU"/>
        </w:rPr>
        <w:t>s</w:t>
      </w:r>
      <w:r w:rsidRPr="008E3646">
        <w:rPr>
          <w:lang w:val="en-AU"/>
        </w:rPr>
        <w:t xml:space="preserve"> could not be located during our re-evaluation study. </w:t>
      </w:r>
      <w:r w:rsidR="0050157C">
        <w:rPr>
          <w:lang w:val="en-AU"/>
        </w:rPr>
        <w:t>Furthermore, t</w:t>
      </w:r>
      <w:r w:rsidRPr="008E3646">
        <w:rPr>
          <w:lang w:val="en-AU"/>
        </w:rPr>
        <w:t xml:space="preserve">he original beta dose rates and uncertainty terms </w:t>
      </w:r>
      <w:r w:rsidR="0042237C">
        <w:rPr>
          <w:lang w:val="en-AU"/>
        </w:rPr>
        <w:t xml:space="preserve">provided </w:t>
      </w:r>
      <w:r w:rsidRPr="008E3646">
        <w:rPr>
          <w:lang w:val="en-AU"/>
        </w:rPr>
        <w:t xml:space="preserve">for these two samples </w:t>
      </w:r>
      <w:r>
        <w:rPr>
          <w:lang w:val="en-AU"/>
        </w:rPr>
        <w:t>were</w:t>
      </w:r>
      <w:r w:rsidRPr="008E3646">
        <w:rPr>
          <w:lang w:val="en-AU"/>
        </w:rPr>
        <w:t xml:space="preserve"> identical </w:t>
      </w:r>
      <w:r w:rsidR="0042237C">
        <w:rPr>
          <w:lang w:val="en-AU"/>
        </w:rPr>
        <w:t>(indistinguishable at</w:t>
      </w:r>
      <w:r w:rsidRPr="008E3646">
        <w:rPr>
          <w:lang w:val="en-AU"/>
        </w:rPr>
        <w:t xml:space="preserve"> 3 decimal places</w:t>
      </w:r>
      <w:r w:rsidR="0042237C">
        <w:rPr>
          <w:lang w:val="en-AU"/>
        </w:rPr>
        <w:t>)</w:t>
      </w:r>
      <w:r w:rsidRPr="008E3646">
        <w:rPr>
          <w:lang w:val="en-AU"/>
        </w:rPr>
        <w:t xml:space="preserve"> and equate</w:t>
      </w:r>
      <w:r w:rsidR="0042237C">
        <w:rPr>
          <w:lang w:val="en-AU"/>
        </w:rPr>
        <w:t>d</w:t>
      </w:r>
      <w:r w:rsidRPr="008E3646">
        <w:rPr>
          <w:lang w:val="en-AU"/>
        </w:rPr>
        <w:t xml:space="preserve"> to the average beta dose rate of stratigraphically related samples LM17188-03 and LM17188-05</w:t>
      </w:r>
      <w:r w:rsidR="0042237C">
        <w:rPr>
          <w:lang w:val="en-AU"/>
        </w:rPr>
        <w:t xml:space="preserve"> (see Table 2 of </w:t>
      </w:r>
      <w:r w:rsidR="0042237C" w:rsidRPr="008E3646">
        <w:rPr>
          <w:lang w:val="en-AU"/>
        </w:rPr>
        <w:t>Santamaría et al.</w:t>
      </w:r>
      <w:r w:rsidR="0042237C">
        <w:rPr>
          <w:lang w:val="en-AU"/>
        </w:rPr>
        <w:t>,</w:t>
      </w:r>
      <w:r w:rsidR="0042237C" w:rsidRPr="008E3646">
        <w:rPr>
          <w:lang w:val="en-AU"/>
        </w:rPr>
        <w:t xml:space="preserve"> 2021)</w:t>
      </w:r>
      <w:r w:rsidRPr="008E3646">
        <w:rPr>
          <w:lang w:val="en-AU"/>
        </w:rPr>
        <w:t xml:space="preserve">, suggesting they could represent assumed </w:t>
      </w:r>
      <w:r w:rsidR="0042237C">
        <w:rPr>
          <w:lang w:val="en-AU"/>
        </w:rPr>
        <w:t xml:space="preserve">(averaged) </w:t>
      </w:r>
      <w:r w:rsidRPr="008E3646">
        <w:rPr>
          <w:lang w:val="en-AU"/>
        </w:rPr>
        <w:t xml:space="preserve">rather than measured values. </w:t>
      </w:r>
      <w:r w:rsidR="00D964FD">
        <w:rPr>
          <w:lang w:val="en-AU"/>
        </w:rPr>
        <w:t xml:space="preserve">Given these </w:t>
      </w:r>
      <w:r w:rsidR="0050157C">
        <w:rPr>
          <w:lang w:val="en-AU"/>
        </w:rPr>
        <w:t>uncertainties</w:t>
      </w:r>
      <w:r w:rsidR="00D964FD">
        <w:rPr>
          <w:lang w:val="en-AU"/>
        </w:rPr>
        <w:t>,</w:t>
      </w:r>
      <w:r w:rsidRPr="008E3646">
        <w:rPr>
          <w:lang w:val="en-AU"/>
        </w:rPr>
        <w:t xml:space="preserve"> it has been necessary to recalculate the external beta dose rates of </w:t>
      </w:r>
      <w:r w:rsidR="00FA5879" w:rsidRPr="00FA5879">
        <w:rPr>
          <w:lang w:val="en-AU"/>
        </w:rPr>
        <w:t>samples LM17188-03 and LM17188-05</w:t>
      </w:r>
      <w:r w:rsidR="00FA5879">
        <w:rPr>
          <w:lang w:val="en-AU"/>
        </w:rPr>
        <w:t xml:space="preserve"> using alternative datasets</w:t>
      </w:r>
      <w:r w:rsidR="00F17F70">
        <w:rPr>
          <w:lang w:val="en-AU"/>
        </w:rPr>
        <w:t>. This has been achieved</w:t>
      </w:r>
      <w:r w:rsidRPr="008E3646">
        <w:rPr>
          <w:lang w:val="en-AU"/>
        </w:rPr>
        <w:t xml:space="preserve"> using U, Th and K concentrations obtained on the dried and homogenised, bulk sediment fractions </w:t>
      </w:r>
      <w:r w:rsidR="00F17F70">
        <w:rPr>
          <w:lang w:val="en-AU"/>
        </w:rPr>
        <w:t>via</w:t>
      </w:r>
      <w:r w:rsidRPr="008E3646">
        <w:rPr>
          <w:lang w:val="en-AU"/>
        </w:rPr>
        <w:t xml:space="preserve"> a combination of inductively coupled plasma mass spectrometry (ICP-MS) and inductively coupled plasma optical emission spectrometry (ICP-OES), following four acid digestion preparation. The dry beta dose rates obtained for these two samples using ICP-MS/OES are consistent at 2σ with those reported in Table 2 of Santamaría et al. (2021) after adjusting for grain-size attenuation.</w:t>
      </w:r>
    </w:p>
    <w:p w14:paraId="08EB7163" w14:textId="77777777" w:rsidR="0042237C" w:rsidRPr="008E3646" w:rsidRDefault="0042237C" w:rsidP="008E3646">
      <w:pPr>
        <w:jc w:val="both"/>
        <w:rPr>
          <w:lang w:val="en-AU"/>
        </w:rPr>
      </w:pPr>
    </w:p>
    <w:p w14:paraId="52A1933B" w14:textId="5BE12F66" w:rsidR="008E3646" w:rsidRDefault="008E3646" w:rsidP="008E3646">
      <w:pPr>
        <w:jc w:val="both"/>
        <w:rPr>
          <w:lang w:val="en-AU"/>
        </w:rPr>
      </w:pPr>
      <w:r w:rsidRPr="008E3646">
        <w:t xml:space="preserve">Radionuclide concentrations and specific activities have been converted to dose rates using the conversion factors given in Guérin et al. (2011). </w:t>
      </w:r>
      <w:r w:rsidRPr="008E3646">
        <w:rPr>
          <w:lang w:val="en-AU"/>
        </w:rPr>
        <w:t xml:space="preserve">The final beta dose rate estimates of all five samples have been calculated after making allowance for beta dose attenuation due to grain-size effects and HF etching (Brennan, 2003). Cosmic-ray dose rates have been calculated using the approach described in Prescott and Hutton (1994), after taking into consideration site altitude, geomagnetic latitude, and density / thickness of sediment overburden. A small, assumed internal (alpha plus beta) dose rate of 0.03 ± 0.01 </w:t>
      </w:r>
      <w:proofErr w:type="spellStart"/>
      <w:r w:rsidRPr="008E3646">
        <w:rPr>
          <w:lang w:val="en-AU"/>
        </w:rPr>
        <w:t>Gy</w:t>
      </w:r>
      <w:proofErr w:type="spellEnd"/>
      <w:r w:rsidRPr="008E3646">
        <w:rPr>
          <w:lang w:val="en-AU"/>
        </w:rPr>
        <w:t xml:space="preserve"> / ka has been included in the final dose rate calculations based on published </w:t>
      </w:r>
      <w:r w:rsidRPr="008E3646">
        <w:rPr>
          <w:vertAlign w:val="superscript"/>
          <w:lang w:val="en-AU"/>
        </w:rPr>
        <w:t>238</w:t>
      </w:r>
      <w:r w:rsidRPr="008E3646">
        <w:rPr>
          <w:lang w:val="en-AU"/>
        </w:rPr>
        <w:t xml:space="preserve">U and </w:t>
      </w:r>
      <w:r w:rsidRPr="008E3646">
        <w:rPr>
          <w:vertAlign w:val="superscript"/>
          <w:lang w:val="en-AU"/>
        </w:rPr>
        <w:t>232</w:t>
      </w:r>
      <w:r w:rsidRPr="008E3646">
        <w:rPr>
          <w:lang w:val="en-AU"/>
        </w:rPr>
        <w:t xml:space="preserve">Th measurements for etched quartz grains from a range of locations (e.g., </w:t>
      </w:r>
      <w:proofErr w:type="spellStart"/>
      <w:r w:rsidRPr="008E3646">
        <w:rPr>
          <w:lang w:val="en-AU"/>
        </w:rPr>
        <w:t>Mejdahl</w:t>
      </w:r>
      <w:proofErr w:type="spellEnd"/>
      <w:r w:rsidRPr="008E3646">
        <w:rPr>
          <w:lang w:val="en-AU"/>
        </w:rPr>
        <w:t>, 1987; Bowler et al., 2003; Jacobs et al., 2006</w:t>
      </w:r>
      <w:r w:rsidR="003B6F4A">
        <w:rPr>
          <w:lang w:val="en-AU"/>
        </w:rPr>
        <w:t>b</w:t>
      </w:r>
      <w:r w:rsidRPr="008E3646">
        <w:rPr>
          <w:lang w:val="en-AU"/>
        </w:rPr>
        <w:t xml:space="preserve">; Pawley et al., 2008; Lewis et al., 2020) and an alpha efficiency factor (a-value) of 0.04 ± 0.01 (Rees-Jones, 1995; Rees-Jones and </w:t>
      </w:r>
      <w:proofErr w:type="spellStart"/>
      <w:r w:rsidRPr="008E3646">
        <w:rPr>
          <w:lang w:val="en-AU"/>
        </w:rPr>
        <w:t>Tite</w:t>
      </w:r>
      <w:proofErr w:type="spellEnd"/>
      <w:r w:rsidRPr="008E3646">
        <w:rPr>
          <w:lang w:val="en-AU"/>
        </w:rPr>
        <w:t>, 1997).</w:t>
      </w:r>
    </w:p>
    <w:p w14:paraId="2FD97AE7" w14:textId="77777777" w:rsidR="0042237C" w:rsidRPr="008E3646" w:rsidRDefault="0042237C" w:rsidP="008E3646">
      <w:pPr>
        <w:jc w:val="both"/>
        <w:rPr>
          <w:lang w:val="en-AU"/>
        </w:rPr>
      </w:pPr>
    </w:p>
    <w:p w14:paraId="40CC4EBB" w14:textId="04ADF6EA" w:rsidR="00D544A3" w:rsidRDefault="008E3646" w:rsidP="008E3646">
      <w:pPr>
        <w:jc w:val="both"/>
        <w:rPr>
          <w:lang w:val="en-AU"/>
        </w:rPr>
      </w:pPr>
      <w:r w:rsidRPr="008E3646">
        <w:rPr>
          <w:lang w:val="en-AU"/>
        </w:rPr>
        <w:t>The beta, gamma and cosmic-ray dose rates have been corrected for long-term sediment moisture contents</w:t>
      </w:r>
      <w:r w:rsidR="00FA5879">
        <w:rPr>
          <w:lang w:val="en-AU"/>
        </w:rPr>
        <w:t>, according to the approach outlined by</w:t>
      </w:r>
      <w:r w:rsidRPr="008E3646">
        <w:rPr>
          <w:lang w:val="en-AU"/>
        </w:rPr>
        <w:t xml:space="preserve"> Aitken</w:t>
      </w:r>
      <w:r w:rsidR="00FA5879">
        <w:rPr>
          <w:lang w:val="en-AU"/>
        </w:rPr>
        <w:t xml:space="preserve"> (</w:t>
      </w:r>
      <w:r w:rsidRPr="008E3646">
        <w:rPr>
          <w:lang w:val="en-AU"/>
        </w:rPr>
        <w:t>1985)</w:t>
      </w:r>
      <w:r w:rsidR="00FA5879">
        <w:rPr>
          <w:lang w:val="en-AU"/>
        </w:rPr>
        <w:t>. O</w:t>
      </w:r>
      <w:r w:rsidR="00FA5879" w:rsidRPr="008E3646">
        <w:rPr>
          <w:lang w:val="en-AU"/>
        </w:rPr>
        <w:t>wing to the relatively low present-day water contents measured for these samples (8–14% dry weight)</w:t>
      </w:r>
      <w:r w:rsidR="00FA5879">
        <w:rPr>
          <w:lang w:val="en-AU"/>
        </w:rPr>
        <w:t>,</w:t>
      </w:r>
      <w:r w:rsidR="00FA5879" w:rsidRPr="00FA5879">
        <w:rPr>
          <w:lang w:val="en-AU"/>
        </w:rPr>
        <w:t xml:space="preserve"> </w:t>
      </w:r>
      <w:r w:rsidR="00FA5879" w:rsidRPr="008E3646">
        <w:rPr>
          <w:lang w:val="en-AU"/>
        </w:rPr>
        <w:t>Santamaría et al. (2021)</w:t>
      </w:r>
      <w:r w:rsidR="00FA5879">
        <w:rPr>
          <w:lang w:val="en-AU"/>
        </w:rPr>
        <w:t xml:space="preserve"> </w:t>
      </w:r>
      <w:r w:rsidR="00FA5879">
        <w:rPr>
          <w:lang w:val="en-AU"/>
        </w:rPr>
        <w:lastRenderedPageBreak/>
        <w:t>estimated the long-term moisture contents using</w:t>
      </w:r>
      <w:r w:rsidRPr="008E3646">
        <w:rPr>
          <w:lang w:val="en-AU"/>
        </w:rPr>
        <w:t xml:space="preserve"> proportional saturation assessments. Santamaría et al. (2021) adopted long-term moisture contents of 38–56% (equivalent to 60% of the present-day saturated water contents), </w:t>
      </w:r>
      <w:r w:rsidR="00D544A3">
        <w:rPr>
          <w:lang w:val="en-AU"/>
        </w:rPr>
        <w:t>which</w:t>
      </w:r>
      <w:r w:rsidRPr="008E3646">
        <w:rPr>
          <w:lang w:val="en-AU"/>
        </w:rPr>
        <w:t xml:space="preserve"> are</w:t>
      </w:r>
      <w:r w:rsidRPr="008E3646">
        <w:rPr>
          <w:lang w:val="ca-ES"/>
        </w:rPr>
        <w:t xml:space="preserve"> significantly higher than </w:t>
      </w:r>
      <w:r w:rsidR="00D544A3">
        <w:rPr>
          <w:lang w:val="en-AU"/>
        </w:rPr>
        <w:t>values</w:t>
      </w:r>
      <w:r w:rsidRPr="008E3646">
        <w:rPr>
          <w:lang w:val="en-AU"/>
        </w:rPr>
        <w:t xml:space="preserve"> reported or assumed for well-preserved silty clay deposits at Atapuerca open-air localities (</w:t>
      </w:r>
      <w:proofErr w:type="gramStart"/>
      <w:r w:rsidRPr="008E3646">
        <w:rPr>
          <w:lang w:val="en-AU"/>
        </w:rPr>
        <w:t>e.g.</w:t>
      </w:r>
      <w:proofErr w:type="gramEnd"/>
      <w:r w:rsidRPr="008E3646">
        <w:rPr>
          <w:lang w:val="en-AU"/>
        </w:rPr>
        <w:t xml:space="preserve"> Moreno et al., 2012; Arnold et al. 2013). The</w:t>
      </w:r>
      <w:r w:rsidR="00D544A3">
        <w:rPr>
          <w:lang w:val="en-AU"/>
        </w:rPr>
        <w:t>se assumed values</w:t>
      </w:r>
      <w:r w:rsidRPr="008E3646">
        <w:rPr>
          <w:lang w:val="en-AU"/>
        </w:rPr>
        <w:t xml:space="preserve"> are also systematically higher than the present-day water contents reported for </w:t>
      </w:r>
      <w:r w:rsidRPr="008E3646">
        <w:rPr>
          <w:lang w:val="ca-ES"/>
        </w:rPr>
        <w:t xml:space="preserve">freshly preserved silty clay deposits inside the deeper and closed parts of the Atapuerca endokarst system (Arnold et al., 2014, 2015; Demuro et al., 2014, 2019a, 2019b, submitted). The latter is at odds with observations that Atapuerca cave clastic deposits are generally exposed to </w:t>
      </w:r>
      <w:r w:rsidR="006735D5">
        <w:rPr>
          <w:lang w:val="ca-ES"/>
        </w:rPr>
        <w:t>more</w:t>
      </w:r>
      <w:r w:rsidRPr="008E3646">
        <w:rPr>
          <w:lang w:val="ca-ES"/>
        </w:rPr>
        <w:t xml:space="preserve"> humid ambient conditions and </w:t>
      </w:r>
      <w:r w:rsidR="0042237C">
        <w:rPr>
          <w:lang w:val="ca-ES"/>
        </w:rPr>
        <w:t xml:space="preserve">are </w:t>
      </w:r>
      <w:r w:rsidR="006735D5">
        <w:rPr>
          <w:lang w:val="ca-ES"/>
        </w:rPr>
        <w:t>better</w:t>
      </w:r>
      <w:r w:rsidRPr="008E3646">
        <w:rPr>
          <w:lang w:val="ca-ES"/>
        </w:rPr>
        <w:t xml:space="preserve"> buffered against seasonal, interannual and longer term dessication cycles </w:t>
      </w:r>
      <w:r w:rsidRPr="008E3646">
        <w:rPr>
          <w:lang w:val="en-AU"/>
        </w:rPr>
        <w:t>(Martín-</w:t>
      </w:r>
      <w:proofErr w:type="spellStart"/>
      <w:r w:rsidRPr="008E3646">
        <w:rPr>
          <w:lang w:val="en-AU"/>
        </w:rPr>
        <w:t>Chivelet</w:t>
      </w:r>
      <w:proofErr w:type="spellEnd"/>
      <w:r w:rsidRPr="008E3646">
        <w:rPr>
          <w:lang w:val="en-AU"/>
        </w:rPr>
        <w:t xml:space="preserve"> et al., 2011) </w:t>
      </w:r>
      <w:r w:rsidRPr="008E3646">
        <w:rPr>
          <w:lang w:val="ca-ES"/>
        </w:rPr>
        <w:t>compared to near-surface, open-air deposits in the surrounding foothills. We consider it unlike</w:t>
      </w:r>
      <w:r w:rsidR="006735D5">
        <w:rPr>
          <w:lang w:val="ca-ES"/>
        </w:rPr>
        <w:t>l</w:t>
      </w:r>
      <w:r w:rsidRPr="008E3646">
        <w:rPr>
          <w:lang w:val="ca-ES"/>
        </w:rPr>
        <w:t xml:space="preserve">y that the Fuente Mudarra deposits consistently experienced water contents in excess of 45% dry weight </w:t>
      </w:r>
      <w:r w:rsidR="00F17F70">
        <w:rPr>
          <w:lang w:val="ca-ES"/>
        </w:rPr>
        <w:t>for their entire burial periods</w:t>
      </w:r>
      <w:r w:rsidR="00D544A3">
        <w:rPr>
          <w:lang w:val="ca-ES"/>
        </w:rPr>
        <w:t xml:space="preserve"> (i.e. the mean assumed value of the five samples from </w:t>
      </w:r>
      <w:r w:rsidR="00D544A3" w:rsidRPr="00D544A3">
        <w:rPr>
          <w:lang w:val="en-AU"/>
        </w:rPr>
        <w:t>Santamaría et al.</w:t>
      </w:r>
      <w:r w:rsidR="00D544A3">
        <w:rPr>
          <w:lang w:val="en-AU"/>
        </w:rPr>
        <w:t>,</w:t>
      </w:r>
      <w:r w:rsidR="00D544A3" w:rsidRPr="00D544A3">
        <w:rPr>
          <w:lang w:val="en-AU"/>
        </w:rPr>
        <w:t xml:space="preserve"> 2021)</w:t>
      </w:r>
      <w:r w:rsidR="00F17F70">
        <w:rPr>
          <w:lang w:val="ca-ES"/>
        </w:rPr>
        <w:t>;</w:t>
      </w:r>
      <w:r w:rsidRPr="008E3646">
        <w:rPr>
          <w:lang w:val="ca-ES"/>
        </w:rPr>
        <w:t xml:space="preserve"> especially given that the burial periods of these samples spanned several glacial stages and pronounced stadial events, which were characterised by significantly reduced effective moisture conditions (</w:t>
      </w:r>
      <w:proofErr w:type="gramStart"/>
      <w:r w:rsidRPr="008E3646">
        <w:rPr>
          <w:lang w:val="ca-ES"/>
        </w:rPr>
        <w:t>e.g.</w:t>
      </w:r>
      <w:proofErr w:type="gramEnd"/>
      <w:r w:rsidRPr="008E3646">
        <w:rPr>
          <w:lang w:val="ca-ES"/>
        </w:rPr>
        <w:t xml:space="preserve"> Pellitero et al., 2019; </w:t>
      </w:r>
      <w:r w:rsidRPr="008E3646">
        <w:rPr>
          <w:rFonts w:eastAsia="CharisSIL"/>
          <w:lang w:val="en-AU"/>
        </w:rPr>
        <w:t>Valero-Garces</w:t>
      </w:r>
      <w:r w:rsidRPr="008E3646">
        <w:rPr>
          <w:lang w:val="en-AU"/>
        </w:rPr>
        <w:t xml:space="preserve"> et al., 2019; Pérez-Díaz and López-</w:t>
      </w:r>
      <w:proofErr w:type="spellStart"/>
      <w:r w:rsidRPr="008E3646">
        <w:rPr>
          <w:lang w:val="en-AU"/>
        </w:rPr>
        <w:t>Sáez</w:t>
      </w:r>
      <w:proofErr w:type="spellEnd"/>
      <w:r w:rsidRPr="008E3646">
        <w:rPr>
          <w:lang w:val="en-AU"/>
        </w:rPr>
        <w:t>, 2021</w:t>
      </w:r>
      <w:r w:rsidRPr="008E3646">
        <w:rPr>
          <w:lang w:val="ca-ES"/>
        </w:rPr>
        <w:t>)</w:t>
      </w:r>
      <w:r w:rsidRPr="008E3646">
        <w:rPr>
          <w:lang w:val="en-AU"/>
        </w:rPr>
        <w:t xml:space="preserve">. </w:t>
      </w:r>
    </w:p>
    <w:p w14:paraId="6F0EE1C7" w14:textId="77777777" w:rsidR="00D544A3" w:rsidRDefault="00D544A3" w:rsidP="008E3646">
      <w:pPr>
        <w:jc w:val="both"/>
        <w:rPr>
          <w:lang w:val="en-AU"/>
        </w:rPr>
      </w:pPr>
    </w:p>
    <w:p w14:paraId="1B9A162D" w14:textId="28F8713A" w:rsidR="008E3646" w:rsidRPr="008E3646" w:rsidRDefault="008E3646" w:rsidP="008E3646">
      <w:pPr>
        <w:jc w:val="both"/>
        <w:rPr>
          <w:lang w:val="en-AU"/>
        </w:rPr>
      </w:pPr>
      <w:r w:rsidRPr="008E3646">
        <w:rPr>
          <w:lang w:val="en-AU"/>
        </w:rPr>
        <w:t xml:space="preserve">To ensure consistency with </w:t>
      </w:r>
      <w:r w:rsidR="00F17F70">
        <w:rPr>
          <w:lang w:val="en-AU"/>
        </w:rPr>
        <w:t xml:space="preserve">luminescence and electron spin resonance </w:t>
      </w:r>
      <w:r w:rsidR="00566A2E">
        <w:rPr>
          <w:lang w:val="en-AU"/>
        </w:rPr>
        <w:t xml:space="preserve">dating studies undertaken previously at Atapuerca, including </w:t>
      </w:r>
      <w:r w:rsidRPr="008E3646">
        <w:rPr>
          <w:lang w:val="en-AU"/>
        </w:rPr>
        <w:t>the single-grain OSL study performed at Hotel California</w:t>
      </w:r>
      <w:r w:rsidR="00566A2E">
        <w:rPr>
          <w:lang w:val="en-AU"/>
        </w:rPr>
        <w:t>,</w:t>
      </w:r>
      <w:r w:rsidRPr="008E3646">
        <w:rPr>
          <w:lang w:val="en-AU"/>
        </w:rPr>
        <w:t xml:space="preserve"> we have adopted more conservative long-term water contents of 19–28% dry weight (equivalent to 30% of the present-day saturated water content estimates), which overlap with the Hotel California long-term water content estimates of 14–26% dry weight at 2σ</w:t>
      </w:r>
      <w:r w:rsidR="0008684E">
        <w:rPr>
          <w:lang w:val="en-AU"/>
        </w:rPr>
        <w:t xml:space="preserve"> (Arnold et al., 2013)</w:t>
      </w:r>
      <w:r w:rsidRPr="008E3646">
        <w:rPr>
          <w:lang w:val="en-AU"/>
        </w:rPr>
        <w:t xml:space="preserve">. As the </w:t>
      </w:r>
      <w:proofErr w:type="gramStart"/>
      <w:r w:rsidRPr="008E3646">
        <w:rPr>
          <w:lang w:val="en-AU"/>
        </w:rPr>
        <w:t>in situ</w:t>
      </w:r>
      <w:proofErr w:type="gramEnd"/>
      <w:r w:rsidRPr="008E3646">
        <w:rPr>
          <w:lang w:val="en-AU"/>
        </w:rPr>
        <w:t xml:space="preserve"> gamma spectrometry measurements </w:t>
      </w:r>
      <w:r w:rsidR="0008684E">
        <w:rPr>
          <w:lang w:val="en-AU"/>
        </w:rPr>
        <w:t xml:space="preserve">for these samples </w:t>
      </w:r>
      <w:r w:rsidRPr="008E3646">
        <w:rPr>
          <w:lang w:val="en-AU"/>
        </w:rPr>
        <w:t xml:space="preserve">were </w:t>
      </w:r>
      <w:r w:rsidR="0008684E">
        <w:rPr>
          <w:lang w:val="en-AU"/>
        </w:rPr>
        <w:t xml:space="preserve">made under present-day moisture conditions (and hence </w:t>
      </w:r>
      <w:r w:rsidR="00566A2E">
        <w:rPr>
          <w:lang w:val="en-AU"/>
        </w:rPr>
        <w:t xml:space="preserve">were </w:t>
      </w:r>
      <w:r w:rsidRPr="008E3646">
        <w:rPr>
          <w:lang w:val="en-AU"/>
        </w:rPr>
        <w:t>already attenuated</w:t>
      </w:r>
      <w:r w:rsidR="00AB2E51">
        <w:rPr>
          <w:lang w:val="en-AU"/>
        </w:rPr>
        <w:t xml:space="preserve"> for sediment water contents of </w:t>
      </w:r>
      <w:r w:rsidR="00AB2E51" w:rsidRPr="00AB2E51">
        <w:rPr>
          <w:lang w:val="en-AU"/>
        </w:rPr>
        <w:t>8–14% dry weight</w:t>
      </w:r>
      <w:r w:rsidR="0008684E">
        <w:rPr>
          <w:lang w:val="en-AU"/>
        </w:rPr>
        <w:t>)</w:t>
      </w:r>
      <w:r w:rsidRPr="008E3646">
        <w:rPr>
          <w:lang w:val="en-AU"/>
        </w:rPr>
        <w:t xml:space="preserve">, it was first necessary to correct the as-measured radionuclide concentrations back to dry (i.e. 0% water content) equivalent values before applying the long-term water content corrections of 14–26%. </w:t>
      </w:r>
      <w:r w:rsidR="002347B2" w:rsidRPr="00FF669C">
        <w:rPr>
          <w:lang w:val="en-AU"/>
        </w:rPr>
        <w:t xml:space="preserve">Santamaría et al. (2021) did not indicate </w:t>
      </w:r>
      <w:r w:rsidRPr="00FF669C">
        <w:rPr>
          <w:lang w:val="en-AU"/>
        </w:rPr>
        <w:t>whether this necessary step was included in the</w:t>
      </w:r>
      <w:r w:rsidR="004A709E" w:rsidRPr="00FF669C">
        <w:rPr>
          <w:lang w:val="en-AU"/>
        </w:rPr>
        <w:t>ir</w:t>
      </w:r>
      <w:r w:rsidRPr="00FF669C">
        <w:rPr>
          <w:lang w:val="en-AU"/>
        </w:rPr>
        <w:t xml:space="preserve"> </w:t>
      </w:r>
      <w:r w:rsidR="00AB2E51" w:rsidRPr="00FF669C">
        <w:rPr>
          <w:lang w:val="en-AU"/>
        </w:rPr>
        <w:t xml:space="preserve">long-term </w:t>
      </w:r>
      <w:r w:rsidRPr="00FF669C">
        <w:rPr>
          <w:lang w:val="en-AU"/>
        </w:rPr>
        <w:t>water-</w:t>
      </w:r>
      <w:r w:rsidR="00AB2E51" w:rsidRPr="00FF669C">
        <w:rPr>
          <w:lang w:val="en-AU"/>
        </w:rPr>
        <w:t>corrected</w:t>
      </w:r>
      <w:r w:rsidRPr="00FF669C">
        <w:rPr>
          <w:lang w:val="en-AU"/>
        </w:rPr>
        <w:t xml:space="preserve"> gamma dose rate calculations </w:t>
      </w:r>
      <w:r w:rsidR="002347B2" w:rsidRPr="00FF669C">
        <w:rPr>
          <w:lang w:val="en-AU"/>
        </w:rPr>
        <w:t>for</w:t>
      </w:r>
      <w:r w:rsidR="002347B2" w:rsidRPr="00FF669C">
        <w:rPr>
          <w:bCs/>
          <w:lang w:val="en-AU"/>
        </w:rPr>
        <w:t xml:space="preserve"> the multi-grain OSL study of the Fuente </w:t>
      </w:r>
      <w:proofErr w:type="spellStart"/>
      <w:r w:rsidR="002347B2" w:rsidRPr="00FF669C">
        <w:rPr>
          <w:bCs/>
          <w:lang w:val="en-AU"/>
        </w:rPr>
        <w:t>Mudarra</w:t>
      </w:r>
      <w:proofErr w:type="spellEnd"/>
      <w:r w:rsidR="002347B2" w:rsidRPr="00FF669C">
        <w:rPr>
          <w:bCs/>
          <w:lang w:val="en-AU"/>
        </w:rPr>
        <w:t xml:space="preserve"> samples</w:t>
      </w:r>
      <w:r w:rsidRPr="00FF669C">
        <w:rPr>
          <w:lang w:val="en-AU"/>
        </w:rPr>
        <w:t>.</w:t>
      </w:r>
      <w:r w:rsidRPr="008E3646">
        <w:rPr>
          <w:lang w:val="en-AU"/>
        </w:rPr>
        <w:t xml:space="preserve"> A relative uncertainty of 10% has been assigned to </w:t>
      </w:r>
      <w:r w:rsidR="00AB2E51">
        <w:rPr>
          <w:lang w:val="en-AU"/>
        </w:rPr>
        <w:t>our</w:t>
      </w:r>
      <w:r w:rsidRPr="008E3646">
        <w:rPr>
          <w:lang w:val="en-AU"/>
        </w:rPr>
        <w:t xml:space="preserve"> long-term moisture estimates to accommodate any minor variations in hydrologic conditions during burial. </w:t>
      </w:r>
    </w:p>
    <w:p w14:paraId="1710DF99" w14:textId="77777777" w:rsidR="007D5BB4" w:rsidRPr="007D5BB4" w:rsidRDefault="007D5BB4" w:rsidP="008E3646">
      <w:pPr>
        <w:jc w:val="both"/>
      </w:pPr>
    </w:p>
    <w:p w14:paraId="7D5EB523" w14:textId="77777777" w:rsidR="003667F5" w:rsidRPr="003667F5" w:rsidRDefault="003667F5" w:rsidP="000161AE">
      <w:pPr>
        <w:jc w:val="both"/>
        <w:rPr>
          <w:b/>
        </w:rPr>
      </w:pPr>
      <w:r w:rsidRPr="003667F5">
        <w:rPr>
          <w:b/>
          <w:lang w:val="en-AU"/>
        </w:rPr>
        <w:t>References</w:t>
      </w:r>
    </w:p>
    <w:p w14:paraId="17EC9AB4" w14:textId="77777777" w:rsidR="00D71049" w:rsidRPr="00D71049" w:rsidRDefault="00D71049" w:rsidP="00D71049">
      <w:pPr>
        <w:jc w:val="both"/>
      </w:pPr>
      <w:r w:rsidRPr="00D71049">
        <w:t xml:space="preserve">Aitken, M.J., 1985. Thermoluminescence Dating. Academic Press, </w:t>
      </w:r>
      <w:smartTag w:uri="urn:schemas-microsoft-com:office:smarttags" w:element="City">
        <w:smartTag w:uri="urn:schemas-microsoft-com:office:smarttags" w:element="place">
          <w:r w:rsidRPr="00D71049">
            <w:t>London</w:t>
          </w:r>
        </w:smartTag>
      </w:smartTag>
      <w:r w:rsidRPr="00D71049">
        <w:t>, 359 p.</w:t>
      </w:r>
    </w:p>
    <w:p w14:paraId="6AF79952" w14:textId="77777777" w:rsidR="00D71049" w:rsidRPr="00D71049" w:rsidRDefault="00D71049" w:rsidP="00D71049">
      <w:pPr>
        <w:jc w:val="both"/>
        <w:rPr>
          <w:lang w:val="en-AU"/>
        </w:rPr>
      </w:pPr>
    </w:p>
    <w:p w14:paraId="37C1C5E4" w14:textId="77777777" w:rsidR="00D71049" w:rsidRPr="00D71049" w:rsidRDefault="00D71049" w:rsidP="00D71049">
      <w:pPr>
        <w:jc w:val="both"/>
      </w:pPr>
      <w:r w:rsidRPr="00D71049">
        <w:t xml:space="preserve">Arnold, L. J., Roberts, R. G., MacPhee, R. D. E., Haile, J. S., Brock, F., </w:t>
      </w:r>
      <w:proofErr w:type="spellStart"/>
      <w:r w:rsidRPr="00D71049">
        <w:t>Möller</w:t>
      </w:r>
      <w:proofErr w:type="spellEnd"/>
      <w:r w:rsidRPr="00D71049">
        <w:t xml:space="preserve">, P., Froese, D. G., Tikhonov, A. N., Chivas, A. R., Gilbert, M. T. P., </w:t>
      </w:r>
      <w:proofErr w:type="spellStart"/>
      <w:r w:rsidRPr="00D71049">
        <w:t>Willerslev</w:t>
      </w:r>
      <w:proofErr w:type="spellEnd"/>
      <w:r w:rsidRPr="00D71049">
        <w:t xml:space="preserve">, E., 2011. Paper II – Dirt, </w:t>
      </w:r>
      <w:proofErr w:type="gramStart"/>
      <w:r w:rsidRPr="00D71049">
        <w:t>dates</w:t>
      </w:r>
      <w:proofErr w:type="gramEnd"/>
      <w:r w:rsidRPr="00D71049">
        <w:t xml:space="preserve"> and DNA: OSL and radiocarbon chronologies of perennially frozen sediments in Siberia and their implications for sedimentary ancient DNA studies. Boreas 40, 417–445.</w:t>
      </w:r>
    </w:p>
    <w:p w14:paraId="1FD19346" w14:textId="77777777" w:rsidR="00D71049" w:rsidRPr="00D71049" w:rsidRDefault="00D71049" w:rsidP="00D71049">
      <w:pPr>
        <w:jc w:val="both"/>
        <w:rPr>
          <w:bCs/>
        </w:rPr>
      </w:pPr>
    </w:p>
    <w:p w14:paraId="460B96EE" w14:textId="77777777" w:rsidR="00D71049" w:rsidRPr="00D71049" w:rsidRDefault="00D71049" w:rsidP="00D71049">
      <w:pPr>
        <w:jc w:val="both"/>
        <w:rPr>
          <w:bCs/>
          <w:lang w:val="es-ES"/>
        </w:rPr>
      </w:pPr>
      <w:r w:rsidRPr="00D71049">
        <w:rPr>
          <w:bCs/>
        </w:rPr>
        <w:t xml:space="preserve">Arnold, L.J., Demuro, M., Navazo Ruiz, M., 2012a. Empirical insights into multi-grain averaging effects from ‘pseudo’ single-grain OSL measurements. </w:t>
      </w:r>
      <w:proofErr w:type="spellStart"/>
      <w:r w:rsidRPr="00D71049">
        <w:rPr>
          <w:bCs/>
          <w:lang w:val="es-ES"/>
        </w:rPr>
        <w:t>Radiation</w:t>
      </w:r>
      <w:proofErr w:type="spellEnd"/>
      <w:r w:rsidRPr="00D71049">
        <w:rPr>
          <w:bCs/>
          <w:lang w:val="es-ES"/>
        </w:rPr>
        <w:t xml:space="preserve"> </w:t>
      </w:r>
      <w:proofErr w:type="spellStart"/>
      <w:r w:rsidRPr="00D71049">
        <w:rPr>
          <w:bCs/>
          <w:lang w:val="es-ES"/>
        </w:rPr>
        <w:t>Measurements</w:t>
      </w:r>
      <w:proofErr w:type="spellEnd"/>
      <w:r w:rsidRPr="00D71049">
        <w:rPr>
          <w:bCs/>
          <w:lang w:val="es-ES"/>
        </w:rPr>
        <w:t xml:space="preserve"> 47, 652-658.</w:t>
      </w:r>
    </w:p>
    <w:p w14:paraId="45AA12A2" w14:textId="77777777" w:rsidR="00D71049" w:rsidRPr="00D71049" w:rsidRDefault="00D71049" w:rsidP="00D71049">
      <w:pPr>
        <w:jc w:val="both"/>
        <w:rPr>
          <w:bCs/>
        </w:rPr>
      </w:pPr>
    </w:p>
    <w:p w14:paraId="2899B974" w14:textId="77777777" w:rsidR="00D71049" w:rsidRPr="00D71049" w:rsidRDefault="00D71049" w:rsidP="00D71049">
      <w:pPr>
        <w:jc w:val="both"/>
        <w:rPr>
          <w:bCs/>
        </w:rPr>
      </w:pPr>
      <w:smartTag w:uri="urn:schemas-microsoft-com:office:smarttags" w:element="City">
        <w:smartTag w:uri="urn:schemas-microsoft-com:office:smarttags" w:element="place">
          <w:r w:rsidRPr="00D71049">
            <w:rPr>
              <w:bCs/>
            </w:rPr>
            <w:t>Arnold</w:t>
          </w:r>
        </w:smartTag>
      </w:smartTag>
      <w:r w:rsidRPr="00D71049">
        <w:rPr>
          <w:bCs/>
        </w:rPr>
        <w:t xml:space="preserve">, L.J., Duval, M., </w:t>
      </w:r>
      <w:proofErr w:type="spellStart"/>
      <w:r w:rsidRPr="00D71049">
        <w:rPr>
          <w:bCs/>
        </w:rPr>
        <w:t>Falguères</w:t>
      </w:r>
      <w:proofErr w:type="spellEnd"/>
      <w:r w:rsidRPr="00D71049">
        <w:rPr>
          <w:bCs/>
        </w:rPr>
        <w:t>, C., Bahain, J.-J., Demuro, M. 2012b. Portable gamma spectrometry with cerium-doped lanthanum bromide scintillators: Suitability assessments for luminescence and electron spin resonance dating applications. Radiation Measurements 47, 6-18.</w:t>
      </w:r>
    </w:p>
    <w:p w14:paraId="2C6C607F" w14:textId="77777777" w:rsidR="00D71049" w:rsidRPr="00D71049" w:rsidRDefault="00D71049" w:rsidP="00D71049">
      <w:pPr>
        <w:jc w:val="both"/>
        <w:rPr>
          <w:bCs/>
          <w:lang w:val="en-AU"/>
        </w:rPr>
      </w:pPr>
    </w:p>
    <w:p w14:paraId="54BEBB4E" w14:textId="77777777" w:rsidR="00D71049" w:rsidRPr="00D71049" w:rsidRDefault="00D71049" w:rsidP="00D71049">
      <w:pPr>
        <w:jc w:val="both"/>
        <w:rPr>
          <w:bCs/>
        </w:rPr>
      </w:pPr>
      <w:r w:rsidRPr="00D71049">
        <w:rPr>
          <w:bCs/>
        </w:rPr>
        <w:t xml:space="preserve">Arnold, L.J., Demuro, M., Navazo Ruiz, M., Benito-Calvo, A., Pérez-González, A., 2013. OSL dating of the Middle Palaeolithic Hotel California site, Sierra de Atapuerca, north-central </w:t>
      </w:r>
      <w:smartTag w:uri="urn:schemas-microsoft-com:office:smarttags" w:element="country-region">
        <w:smartTag w:uri="urn:schemas-microsoft-com:office:smarttags" w:element="place">
          <w:r w:rsidRPr="00D71049">
            <w:rPr>
              <w:bCs/>
            </w:rPr>
            <w:t>Spain</w:t>
          </w:r>
        </w:smartTag>
      </w:smartTag>
      <w:r w:rsidRPr="00D71049">
        <w:rPr>
          <w:bCs/>
        </w:rPr>
        <w:t>. Boreas 42, 285–305.</w:t>
      </w:r>
    </w:p>
    <w:p w14:paraId="34249101" w14:textId="77777777" w:rsidR="00D71049" w:rsidRPr="00D71049" w:rsidRDefault="00D71049" w:rsidP="00D71049">
      <w:pPr>
        <w:jc w:val="both"/>
        <w:rPr>
          <w:bCs/>
          <w:lang w:val="ca-ES"/>
        </w:rPr>
      </w:pPr>
    </w:p>
    <w:p w14:paraId="79DB9BE4" w14:textId="77777777" w:rsidR="00D71049" w:rsidRPr="00D71049" w:rsidRDefault="00D71049" w:rsidP="00D71049">
      <w:pPr>
        <w:jc w:val="both"/>
        <w:rPr>
          <w:bCs/>
        </w:rPr>
      </w:pPr>
      <w:r w:rsidRPr="00D71049">
        <w:rPr>
          <w:bCs/>
          <w:lang w:val="es-ES"/>
        </w:rPr>
        <w:lastRenderedPageBreak/>
        <w:t xml:space="preserve">Arnold, L.J., Demuro, M., Parés, J.M., Arsuaga, J.L., Aranburu, A., Bermúdez de Castro, J.M., Carbonell, E., 2014. </w:t>
      </w:r>
      <w:r w:rsidRPr="00D71049">
        <w:rPr>
          <w:bCs/>
        </w:rPr>
        <w:t>Luminescence dating and palaeomagnetic age constraint on hominins from Sima de los Huesos, Atapuerca, Spain. Journal of Human Evolution 67, 85-107.</w:t>
      </w:r>
    </w:p>
    <w:p w14:paraId="78F8736F" w14:textId="77777777" w:rsidR="00D71049" w:rsidRPr="00D71049" w:rsidRDefault="00D71049" w:rsidP="00D71049">
      <w:pPr>
        <w:jc w:val="both"/>
        <w:rPr>
          <w:bCs/>
          <w:lang w:val="en-AU"/>
        </w:rPr>
      </w:pPr>
    </w:p>
    <w:p w14:paraId="6E716208" w14:textId="77777777" w:rsidR="00D71049" w:rsidRPr="00D71049" w:rsidRDefault="00D71049" w:rsidP="00D71049">
      <w:pPr>
        <w:jc w:val="both"/>
        <w:rPr>
          <w:bCs/>
          <w:lang w:val="en-AU"/>
        </w:rPr>
      </w:pPr>
      <w:r w:rsidRPr="00D71049">
        <w:rPr>
          <w:bCs/>
          <w:lang w:val="es-ES"/>
        </w:rPr>
        <w:t xml:space="preserve">Arnold, L.J., Demuro, M., Parés, J.M., Pérez-González, A., Arsuaga, J.L., Bermúdez de Castro, J.M., Carbonell, E., 2015. </w:t>
      </w:r>
      <w:r w:rsidRPr="00D71049">
        <w:rPr>
          <w:bCs/>
          <w:lang w:val="en-AU"/>
        </w:rPr>
        <w:t>Evaluating the suitability of extended-range luminescence dating techniques over early and Middle Pleistocene timescales: Published datasets and case studies from Atapuerca, Spain. Quaternary International 389, 167-190.</w:t>
      </w:r>
    </w:p>
    <w:p w14:paraId="0ECABEBA" w14:textId="77777777" w:rsidR="00D71049" w:rsidRPr="00D71049" w:rsidRDefault="00D71049" w:rsidP="00D71049">
      <w:pPr>
        <w:jc w:val="both"/>
        <w:rPr>
          <w:bCs/>
          <w:lang w:val="en-AU"/>
        </w:rPr>
      </w:pPr>
    </w:p>
    <w:p w14:paraId="130395C1" w14:textId="77777777" w:rsidR="00D71049" w:rsidRPr="00D71049" w:rsidRDefault="00D71049" w:rsidP="00D71049">
      <w:pPr>
        <w:jc w:val="both"/>
        <w:rPr>
          <w:bCs/>
          <w:lang w:val="en-AU"/>
        </w:rPr>
      </w:pPr>
      <w:r w:rsidRPr="00D71049">
        <w:rPr>
          <w:bCs/>
          <w:lang w:val="en-AU"/>
        </w:rPr>
        <w:t>Arnold, L.J., Duval, M., Demuro, M., Spooner, N.A., Santonja, M., Pérez-González, A., 2016. OSL dating of individual quartz '</w:t>
      </w:r>
      <w:proofErr w:type="spellStart"/>
      <w:r w:rsidRPr="00D71049">
        <w:rPr>
          <w:bCs/>
          <w:lang w:val="en-AU"/>
        </w:rPr>
        <w:t>supergrains</w:t>
      </w:r>
      <w:proofErr w:type="spellEnd"/>
      <w:r w:rsidRPr="00D71049">
        <w:rPr>
          <w:bCs/>
          <w:lang w:val="en-AU"/>
        </w:rPr>
        <w:t>' from the Ancient Middle Palaeolithic site of Cuesta de la Bajada, Spain. Quaternary Geochronology 36, 78-101.</w:t>
      </w:r>
    </w:p>
    <w:p w14:paraId="0B94B8BA" w14:textId="77777777" w:rsidR="00D71049" w:rsidRPr="00D71049" w:rsidRDefault="00D71049" w:rsidP="00D71049">
      <w:pPr>
        <w:jc w:val="both"/>
        <w:rPr>
          <w:lang w:val="en-AU"/>
        </w:rPr>
      </w:pPr>
    </w:p>
    <w:p w14:paraId="637F601B" w14:textId="77777777" w:rsidR="00D71049" w:rsidRPr="00D71049" w:rsidRDefault="00D71049" w:rsidP="00D71049">
      <w:pPr>
        <w:jc w:val="both"/>
      </w:pPr>
      <w:proofErr w:type="spellStart"/>
      <w:r w:rsidRPr="00D71049">
        <w:t>Bøtter</w:t>
      </w:r>
      <w:proofErr w:type="spellEnd"/>
      <w:r w:rsidRPr="00D71049">
        <w:t xml:space="preserve">-Jensen, L., </w:t>
      </w:r>
      <w:proofErr w:type="spellStart"/>
      <w:r w:rsidRPr="00D71049">
        <w:t>Mejdahl</w:t>
      </w:r>
      <w:proofErr w:type="spellEnd"/>
      <w:r w:rsidRPr="00D71049">
        <w:t xml:space="preserve">, M., 1988. Assessment of beta dose-rate using a GM </w:t>
      </w:r>
      <w:proofErr w:type="spellStart"/>
      <w:r w:rsidRPr="00D71049">
        <w:t>multicounter</w:t>
      </w:r>
      <w:proofErr w:type="spellEnd"/>
      <w:r w:rsidRPr="00D71049">
        <w:t xml:space="preserve"> system. Nuclear Tracks and Radiation Measurements 14, 187-191.</w:t>
      </w:r>
    </w:p>
    <w:p w14:paraId="2896CFEA" w14:textId="77777777" w:rsidR="00D71049" w:rsidRPr="00D71049" w:rsidRDefault="00D71049" w:rsidP="00D71049">
      <w:pPr>
        <w:jc w:val="both"/>
      </w:pPr>
    </w:p>
    <w:p w14:paraId="3CB31142" w14:textId="77777777" w:rsidR="00D71049" w:rsidRPr="00D71049" w:rsidRDefault="00D71049" w:rsidP="00D71049">
      <w:pPr>
        <w:jc w:val="both"/>
      </w:pPr>
      <w:r w:rsidRPr="00D71049">
        <w:t xml:space="preserve">Bowler, J.M., Johnston, H., Olley, J.M., Prescott, J.R., Roberts, R.G., </w:t>
      </w:r>
      <w:proofErr w:type="spellStart"/>
      <w:r w:rsidRPr="00D71049">
        <w:t>Shawcross</w:t>
      </w:r>
      <w:proofErr w:type="spellEnd"/>
      <w:r w:rsidRPr="00D71049">
        <w:t xml:space="preserve">, W., Spooner, N.A., 2003. New ages for human occupation and climate change at </w:t>
      </w:r>
      <w:smartTag w:uri="urn:schemas-microsoft-com:office:smarttags" w:element="place">
        <w:smartTag w:uri="urn:schemas-microsoft-com:office:smarttags" w:element="City">
          <w:r w:rsidRPr="00D71049">
            <w:t>Lake Mungo</w:t>
          </w:r>
        </w:smartTag>
        <w:r w:rsidRPr="00D71049">
          <w:t xml:space="preserve">, </w:t>
        </w:r>
        <w:smartTag w:uri="urn:schemas-microsoft-com:office:smarttags" w:element="country-region">
          <w:r w:rsidRPr="00D71049">
            <w:t>Australia</w:t>
          </w:r>
        </w:smartTag>
      </w:smartTag>
      <w:r w:rsidRPr="00D71049">
        <w:t>. Nature 421, 837–840.</w:t>
      </w:r>
    </w:p>
    <w:p w14:paraId="3CA9F53B" w14:textId="77777777" w:rsidR="00D71049" w:rsidRPr="00D71049" w:rsidRDefault="00D71049" w:rsidP="00D71049">
      <w:pPr>
        <w:jc w:val="both"/>
        <w:rPr>
          <w:lang w:val="en-AU"/>
        </w:rPr>
      </w:pPr>
    </w:p>
    <w:p w14:paraId="5F31B39F" w14:textId="77777777" w:rsidR="00D71049" w:rsidRPr="00D71049" w:rsidRDefault="00D71049" w:rsidP="00D71049">
      <w:pPr>
        <w:jc w:val="both"/>
      </w:pPr>
      <w:r w:rsidRPr="00D71049">
        <w:t>Brennan, B.J., 2003. Beta doses to spherical grains. Radiation Measurements 37, 299-303.</w:t>
      </w:r>
    </w:p>
    <w:p w14:paraId="10C4B6C7" w14:textId="77777777" w:rsidR="00D71049" w:rsidRPr="00D71049" w:rsidRDefault="00D71049" w:rsidP="00D71049">
      <w:pPr>
        <w:jc w:val="both"/>
        <w:rPr>
          <w:bCs/>
          <w:lang w:val="ca-ES"/>
        </w:rPr>
      </w:pPr>
    </w:p>
    <w:p w14:paraId="65A4A5DD" w14:textId="77777777" w:rsidR="00D71049" w:rsidRPr="00D71049" w:rsidRDefault="00D71049" w:rsidP="00D71049">
      <w:pPr>
        <w:jc w:val="both"/>
        <w:rPr>
          <w:bCs/>
          <w:lang w:val="en-AU"/>
        </w:rPr>
      </w:pPr>
      <w:r w:rsidRPr="00D71049">
        <w:rPr>
          <w:bCs/>
          <w:lang w:val="en-AU"/>
        </w:rPr>
        <w:t xml:space="preserve">Demuro, M., Arnold, L.J., </w:t>
      </w:r>
      <w:proofErr w:type="spellStart"/>
      <w:r w:rsidRPr="00D71049">
        <w:rPr>
          <w:bCs/>
          <w:lang w:val="en-AU"/>
        </w:rPr>
        <w:t>Parés</w:t>
      </w:r>
      <w:proofErr w:type="spellEnd"/>
      <w:r w:rsidRPr="00D71049">
        <w:rPr>
          <w:bCs/>
          <w:lang w:val="en-AU"/>
        </w:rPr>
        <w:t xml:space="preserve">, J.M., Pérez-González, A., Ortega, A.I., Arsuaga, J.L., Bermúdez de Castro, J.M., </w:t>
      </w:r>
      <w:proofErr w:type="spellStart"/>
      <w:r w:rsidRPr="00D71049">
        <w:rPr>
          <w:bCs/>
          <w:lang w:val="en-AU"/>
        </w:rPr>
        <w:t>Carbonell</w:t>
      </w:r>
      <w:proofErr w:type="spellEnd"/>
      <w:r w:rsidRPr="00D71049">
        <w:rPr>
          <w:bCs/>
          <w:lang w:val="en-AU"/>
        </w:rPr>
        <w:t xml:space="preserve">, E., 2014. New luminescence ages for the </w:t>
      </w:r>
      <w:proofErr w:type="spellStart"/>
      <w:r w:rsidRPr="00D71049">
        <w:rPr>
          <w:bCs/>
          <w:lang w:val="en-AU"/>
        </w:rPr>
        <w:t>Galería</w:t>
      </w:r>
      <w:proofErr w:type="spellEnd"/>
      <w:r w:rsidRPr="00D71049">
        <w:rPr>
          <w:bCs/>
          <w:lang w:val="en-AU"/>
        </w:rPr>
        <w:t xml:space="preserve"> Complex archaeological site: Resolving chronological uncertainties on the Acheulean record of the Sierra de Atapuerca, northern Spain. PLOS ONE 9, e110169.</w:t>
      </w:r>
    </w:p>
    <w:p w14:paraId="787C0A9D" w14:textId="77777777" w:rsidR="00D71049" w:rsidRPr="00D71049" w:rsidRDefault="00D71049" w:rsidP="00D71049">
      <w:pPr>
        <w:jc w:val="both"/>
        <w:rPr>
          <w:bCs/>
          <w:lang w:val="ca-ES"/>
        </w:rPr>
      </w:pPr>
    </w:p>
    <w:p w14:paraId="49B0287D" w14:textId="77777777" w:rsidR="00D71049" w:rsidRPr="00D71049" w:rsidRDefault="00D71049" w:rsidP="00D71049">
      <w:pPr>
        <w:jc w:val="both"/>
        <w:rPr>
          <w:bCs/>
        </w:rPr>
      </w:pPr>
      <w:r w:rsidRPr="00D71049">
        <w:rPr>
          <w:bCs/>
          <w:lang w:val="es-ES"/>
        </w:rPr>
        <w:t xml:space="preserve">Demuro, M., Arnold, L.J., Aranburu, A., Sala, N., Arsuaga, J.-L., 2019a. </w:t>
      </w:r>
      <w:r w:rsidRPr="00D71049">
        <w:rPr>
          <w:bCs/>
          <w:lang w:val="en-AU"/>
        </w:rPr>
        <w:t>New bracketing luminescence ages constrain the Sima de los Huesos hominin fossils (Atapuerca, Spain) to MIS 12. Journal of Human Evolution 131, 76-95.</w:t>
      </w:r>
    </w:p>
    <w:p w14:paraId="060E1C34" w14:textId="77777777" w:rsidR="00D71049" w:rsidRPr="00D71049" w:rsidRDefault="00D71049" w:rsidP="00D71049">
      <w:pPr>
        <w:jc w:val="both"/>
        <w:rPr>
          <w:bCs/>
        </w:rPr>
      </w:pPr>
    </w:p>
    <w:p w14:paraId="665CB3BB" w14:textId="77777777" w:rsidR="00D71049" w:rsidRPr="00D71049" w:rsidRDefault="00D71049" w:rsidP="00D71049">
      <w:pPr>
        <w:jc w:val="both"/>
        <w:rPr>
          <w:bCs/>
        </w:rPr>
      </w:pPr>
      <w:r w:rsidRPr="00D71049">
        <w:rPr>
          <w:bCs/>
        </w:rPr>
        <w:t>Demuro, M., Arnold, L.J., Aranburu, A., Gómez-</w:t>
      </w:r>
      <w:proofErr w:type="spellStart"/>
      <w:r w:rsidRPr="00D71049">
        <w:rPr>
          <w:bCs/>
        </w:rPr>
        <w:t>Olivencia</w:t>
      </w:r>
      <w:proofErr w:type="spellEnd"/>
      <w:r w:rsidRPr="00D71049">
        <w:rPr>
          <w:bCs/>
        </w:rPr>
        <w:t xml:space="preserve">, A., Arsuaga, J.L., 2019b. Single-grain OSL dating of the Middle Palaeolithic site of </w:t>
      </w:r>
      <w:proofErr w:type="spellStart"/>
      <w:r w:rsidRPr="00D71049">
        <w:rPr>
          <w:bCs/>
        </w:rPr>
        <w:t>Galería</w:t>
      </w:r>
      <w:proofErr w:type="spellEnd"/>
      <w:r w:rsidRPr="00D71049">
        <w:rPr>
          <w:bCs/>
        </w:rPr>
        <w:t xml:space="preserve"> de las </w:t>
      </w:r>
      <w:proofErr w:type="spellStart"/>
      <w:r w:rsidRPr="00D71049">
        <w:rPr>
          <w:bCs/>
        </w:rPr>
        <w:t>Estatuas</w:t>
      </w:r>
      <w:proofErr w:type="spellEnd"/>
      <w:r w:rsidRPr="00D71049">
        <w:rPr>
          <w:bCs/>
        </w:rPr>
        <w:t>, Atapuerca (Burgos, Spain) Quaternary Geochronology 49, 138-145.</w:t>
      </w:r>
    </w:p>
    <w:p w14:paraId="0D67F9A8" w14:textId="77777777" w:rsidR="00D71049" w:rsidRPr="00D71049" w:rsidRDefault="00D71049" w:rsidP="00D71049">
      <w:pPr>
        <w:jc w:val="both"/>
        <w:rPr>
          <w:bCs/>
          <w:lang w:val="ca-ES"/>
        </w:rPr>
      </w:pPr>
    </w:p>
    <w:p w14:paraId="68E16B02" w14:textId="0E2430F5" w:rsidR="00D71049" w:rsidRPr="00D71049" w:rsidRDefault="00D71049" w:rsidP="00D71049">
      <w:pPr>
        <w:jc w:val="both"/>
        <w:rPr>
          <w:bCs/>
          <w:lang w:val="en-AU"/>
        </w:rPr>
      </w:pPr>
      <w:bookmarkStart w:id="0" w:name="_Hlk86242431"/>
      <w:r w:rsidRPr="00D71049">
        <w:rPr>
          <w:bCs/>
          <w:lang w:val="en-AU"/>
        </w:rPr>
        <w:t xml:space="preserve">Demuro, M., Arnold, L.J., </w:t>
      </w:r>
      <w:proofErr w:type="spellStart"/>
      <w:r w:rsidRPr="00D71049">
        <w:rPr>
          <w:bCs/>
          <w:lang w:val="en-AU"/>
        </w:rPr>
        <w:t>Parés</w:t>
      </w:r>
      <w:proofErr w:type="spellEnd"/>
      <w:r w:rsidRPr="00D71049">
        <w:rPr>
          <w:bCs/>
          <w:lang w:val="en-AU"/>
        </w:rPr>
        <w:t xml:space="preserve">, J.M., Aranburu, A., Huguet, R., Vallverdú, J., Arsuaga, J.L., Bermúdez de Castro, J.M., </w:t>
      </w:r>
      <w:proofErr w:type="spellStart"/>
      <w:r w:rsidRPr="00D71049">
        <w:rPr>
          <w:bCs/>
          <w:lang w:val="en-AU"/>
        </w:rPr>
        <w:t>Carbonell</w:t>
      </w:r>
      <w:proofErr w:type="spellEnd"/>
      <w:r w:rsidRPr="00D71049">
        <w:rPr>
          <w:bCs/>
          <w:lang w:val="en-AU"/>
        </w:rPr>
        <w:t xml:space="preserve">, E., Extended-range luminescence chronologies for the Middle Pleistocene units at the Sima del </w:t>
      </w:r>
      <w:proofErr w:type="spellStart"/>
      <w:r w:rsidRPr="00D71049">
        <w:rPr>
          <w:bCs/>
          <w:lang w:val="en-AU"/>
        </w:rPr>
        <w:t>Elefante</w:t>
      </w:r>
      <w:proofErr w:type="spellEnd"/>
      <w:r w:rsidRPr="00D71049">
        <w:rPr>
          <w:bCs/>
          <w:lang w:val="en-AU"/>
        </w:rPr>
        <w:t xml:space="preserve"> archaeological site (Sierra de Atapuerca, Burgos, Spain). Quaternary Geochronology, submitted.</w:t>
      </w:r>
      <w:bookmarkEnd w:id="0"/>
    </w:p>
    <w:p w14:paraId="2AD328C9" w14:textId="77777777" w:rsidR="00D71049" w:rsidRPr="00D71049" w:rsidRDefault="00D71049" w:rsidP="00D71049">
      <w:pPr>
        <w:jc w:val="both"/>
        <w:rPr>
          <w:bCs/>
        </w:rPr>
      </w:pPr>
    </w:p>
    <w:p w14:paraId="01D06092" w14:textId="77777777" w:rsidR="00D71049" w:rsidRPr="00D71049" w:rsidRDefault="00D71049" w:rsidP="00D71049">
      <w:pPr>
        <w:jc w:val="both"/>
        <w:rPr>
          <w:bCs/>
        </w:rPr>
      </w:pPr>
      <w:r w:rsidRPr="00D71049">
        <w:rPr>
          <w:bCs/>
        </w:rPr>
        <w:t>Duller, G.A.T., 2003. Distinguishing quartz and feldspar in single grain luminescence measurements. Radiation Measurements 37, 161–165.</w:t>
      </w:r>
    </w:p>
    <w:p w14:paraId="32156156" w14:textId="77777777" w:rsidR="00D71049" w:rsidRPr="00D71049" w:rsidRDefault="00D71049" w:rsidP="00D71049">
      <w:pPr>
        <w:jc w:val="both"/>
        <w:rPr>
          <w:bCs/>
        </w:rPr>
      </w:pPr>
    </w:p>
    <w:p w14:paraId="7943DEBB" w14:textId="77777777" w:rsidR="00D71049" w:rsidRPr="00D71049" w:rsidRDefault="00D71049" w:rsidP="00D71049">
      <w:pPr>
        <w:jc w:val="both"/>
        <w:rPr>
          <w:bCs/>
        </w:rPr>
      </w:pPr>
      <w:r w:rsidRPr="00D71049">
        <w:rPr>
          <w:bCs/>
        </w:rPr>
        <w:t>Duller, G.A.T., 2007. Assessing the error on equivalent dose estimates derived from single aliquot regenerative dose measurements. Ancient TL 25, 15–24.</w:t>
      </w:r>
    </w:p>
    <w:p w14:paraId="3BC4AF82" w14:textId="77777777" w:rsidR="00D71049" w:rsidRPr="00D71049" w:rsidRDefault="00D71049" w:rsidP="00D71049">
      <w:pPr>
        <w:jc w:val="both"/>
        <w:rPr>
          <w:bCs/>
          <w:lang w:val="en-AU"/>
        </w:rPr>
      </w:pPr>
    </w:p>
    <w:p w14:paraId="038DE692" w14:textId="77777777" w:rsidR="00D71049" w:rsidRPr="00D71049" w:rsidRDefault="00D71049" w:rsidP="00D71049">
      <w:pPr>
        <w:jc w:val="both"/>
        <w:rPr>
          <w:bCs/>
          <w:lang w:val="en-AU"/>
        </w:rPr>
      </w:pPr>
      <w:r w:rsidRPr="00D71049">
        <w:rPr>
          <w:bCs/>
          <w:lang w:val="en-AU"/>
        </w:rPr>
        <w:t>Duval, M., Arnold, L.J., 2013. Field gamma dose-rate assessment in natural sedimentary contexts using LaBr</w:t>
      </w:r>
      <w:r w:rsidRPr="00D71049">
        <w:rPr>
          <w:bCs/>
          <w:vertAlign w:val="subscript"/>
          <w:lang w:val="en-AU"/>
        </w:rPr>
        <w:t>3</w:t>
      </w:r>
      <w:r w:rsidRPr="00D71049">
        <w:rPr>
          <w:bCs/>
          <w:lang w:val="en-AU"/>
        </w:rPr>
        <w:t xml:space="preserve">(Ce) and </w:t>
      </w:r>
      <w:proofErr w:type="spellStart"/>
      <w:proofErr w:type="gramStart"/>
      <w:r w:rsidRPr="00D71049">
        <w:rPr>
          <w:bCs/>
          <w:lang w:val="en-AU"/>
        </w:rPr>
        <w:t>NaI</w:t>
      </w:r>
      <w:proofErr w:type="spellEnd"/>
      <w:r w:rsidRPr="00D71049">
        <w:rPr>
          <w:bCs/>
          <w:lang w:val="en-AU"/>
        </w:rPr>
        <w:t>(</w:t>
      </w:r>
      <w:proofErr w:type="gramEnd"/>
      <w:r w:rsidRPr="00D71049">
        <w:rPr>
          <w:bCs/>
          <w:lang w:val="en-AU"/>
        </w:rPr>
        <w:t>Tl)  probes: A comparison between the "threshold" and "windows" techniques. Applied Radiation and Isotopes 74, 36-45.</w:t>
      </w:r>
    </w:p>
    <w:p w14:paraId="75D3286E" w14:textId="77777777" w:rsidR="00D71049" w:rsidRPr="00D71049" w:rsidRDefault="00D71049" w:rsidP="00D71049">
      <w:pPr>
        <w:jc w:val="both"/>
        <w:rPr>
          <w:bCs/>
          <w:lang w:val="en-AU"/>
        </w:rPr>
      </w:pPr>
    </w:p>
    <w:p w14:paraId="40C30969" w14:textId="77777777" w:rsidR="00D71049" w:rsidRPr="00D71049" w:rsidRDefault="00D71049" w:rsidP="00D71049">
      <w:pPr>
        <w:jc w:val="both"/>
        <w:rPr>
          <w:bCs/>
        </w:rPr>
      </w:pPr>
      <w:r w:rsidRPr="00D71049">
        <w:rPr>
          <w:bCs/>
        </w:rPr>
        <w:t xml:space="preserve">Galbraith, R.F., 2002. A note on the variance of a </w:t>
      </w:r>
      <w:proofErr w:type="gramStart"/>
      <w:r w:rsidRPr="00D71049">
        <w:rPr>
          <w:bCs/>
        </w:rPr>
        <w:t>background-corrected</w:t>
      </w:r>
      <w:proofErr w:type="gramEnd"/>
      <w:r w:rsidRPr="00D71049">
        <w:rPr>
          <w:bCs/>
        </w:rPr>
        <w:t xml:space="preserve"> OSL count. Ancient TL 20, 49–51.</w:t>
      </w:r>
    </w:p>
    <w:p w14:paraId="154CC7F4" w14:textId="77777777" w:rsidR="00D71049" w:rsidRPr="00D71049" w:rsidRDefault="00D71049" w:rsidP="00D71049">
      <w:pPr>
        <w:jc w:val="both"/>
        <w:rPr>
          <w:bCs/>
        </w:rPr>
      </w:pPr>
    </w:p>
    <w:p w14:paraId="3D9FA811" w14:textId="77777777" w:rsidR="00D71049" w:rsidRPr="00D71049" w:rsidRDefault="00D71049" w:rsidP="00D71049">
      <w:pPr>
        <w:jc w:val="both"/>
        <w:rPr>
          <w:bCs/>
        </w:rPr>
      </w:pPr>
      <w:r w:rsidRPr="00D71049">
        <w:rPr>
          <w:bCs/>
          <w:lang w:val="fr-FR"/>
        </w:rPr>
        <w:t xml:space="preserve">Guérin, G., Mercier, M., Adamiec, G., 2011. </w:t>
      </w:r>
      <w:r w:rsidRPr="00D71049">
        <w:rPr>
          <w:bCs/>
        </w:rPr>
        <w:t>Dose-rate conversion factors: update. Ancient TL 29, 5-8.</w:t>
      </w:r>
    </w:p>
    <w:p w14:paraId="30FF7882" w14:textId="77777777" w:rsidR="00D71049" w:rsidRPr="00D71049" w:rsidRDefault="00D71049" w:rsidP="00D71049">
      <w:pPr>
        <w:jc w:val="both"/>
        <w:rPr>
          <w:bCs/>
        </w:rPr>
      </w:pPr>
    </w:p>
    <w:p w14:paraId="53BECF05" w14:textId="77777777" w:rsidR="00D71049" w:rsidRPr="00D71049" w:rsidRDefault="00D71049" w:rsidP="00D71049">
      <w:pPr>
        <w:jc w:val="both"/>
        <w:rPr>
          <w:bCs/>
          <w:lang w:val="en-AU"/>
        </w:rPr>
      </w:pPr>
      <w:r w:rsidRPr="00D71049">
        <w:rPr>
          <w:bCs/>
          <w:lang w:val="en-AU"/>
        </w:rPr>
        <w:t xml:space="preserve">Hansen, V., </w:t>
      </w:r>
      <w:smartTag w:uri="urn:schemas-microsoft-com:office:smarttags" w:element="place">
        <w:smartTag w:uri="urn:schemas-microsoft-com:office:smarttags" w:element="City">
          <w:r w:rsidRPr="00D71049">
            <w:rPr>
              <w:bCs/>
              <w:lang w:val="en-AU"/>
            </w:rPr>
            <w:t>Murray</w:t>
          </w:r>
        </w:smartTag>
      </w:smartTag>
      <w:r w:rsidRPr="00D71049">
        <w:rPr>
          <w:bCs/>
          <w:lang w:val="en-AU"/>
        </w:rPr>
        <w:t xml:space="preserve">, A., Buylaert, J.-P., Yeo, E.-Y., Thomsen, K., 2015. </w:t>
      </w:r>
      <w:r w:rsidRPr="00D71049">
        <w:rPr>
          <w:bCs/>
        </w:rPr>
        <w:t xml:space="preserve">A new irradiated quartz for beta source calibration. </w:t>
      </w:r>
      <w:r w:rsidRPr="00D71049">
        <w:rPr>
          <w:bCs/>
          <w:lang w:val="en-AU"/>
        </w:rPr>
        <w:t>Radiation measurements 81, 123-127.</w:t>
      </w:r>
    </w:p>
    <w:p w14:paraId="5A18CAB5" w14:textId="77777777" w:rsidR="00D71049" w:rsidRPr="00D71049" w:rsidRDefault="00D71049" w:rsidP="00D71049">
      <w:pPr>
        <w:jc w:val="both"/>
        <w:rPr>
          <w:bCs/>
          <w:lang w:val="en-AU"/>
        </w:rPr>
      </w:pPr>
    </w:p>
    <w:p w14:paraId="04255E12" w14:textId="77777777" w:rsidR="00D71049" w:rsidRPr="00D71049" w:rsidRDefault="00D71049" w:rsidP="00D71049">
      <w:pPr>
        <w:jc w:val="both"/>
        <w:rPr>
          <w:bCs/>
        </w:rPr>
      </w:pPr>
      <w:r w:rsidRPr="00D71049">
        <w:rPr>
          <w:bCs/>
        </w:rPr>
        <w:t xml:space="preserve">Jacobs, Z., Duller, G.A.T., </w:t>
      </w:r>
      <w:proofErr w:type="spellStart"/>
      <w:r w:rsidRPr="00D71049">
        <w:rPr>
          <w:bCs/>
        </w:rPr>
        <w:t>Wintle</w:t>
      </w:r>
      <w:proofErr w:type="spellEnd"/>
      <w:r w:rsidRPr="00D71049">
        <w:rPr>
          <w:bCs/>
        </w:rPr>
        <w:t xml:space="preserve">, A.G., 2006a. Interpretation of </w:t>
      </w:r>
      <w:proofErr w:type="gramStart"/>
      <w:r w:rsidRPr="00D71049">
        <w:rPr>
          <w:bCs/>
        </w:rPr>
        <w:t>single-grain</w:t>
      </w:r>
      <w:proofErr w:type="gramEnd"/>
      <w:r w:rsidRPr="00D71049">
        <w:rPr>
          <w:bCs/>
        </w:rPr>
        <w:t xml:space="preserve"> D</w:t>
      </w:r>
      <w:r w:rsidRPr="00D71049">
        <w:rPr>
          <w:bCs/>
          <w:vertAlign w:val="subscript"/>
        </w:rPr>
        <w:t>e</w:t>
      </w:r>
      <w:r w:rsidRPr="00D71049">
        <w:rPr>
          <w:bCs/>
        </w:rPr>
        <w:t xml:space="preserve"> distributions and calculation of D</w:t>
      </w:r>
      <w:r w:rsidRPr="00D71049">
        <w:rPr>
          <w:bCs/>
          <w:vertAlign w:val="subscript"/>
        </w:rPr>
        <w:t>e</w:t>
      </w:r>
      <w:r w:rsidRPr="00D71049">
        <w:rPr>
          <w:bCs/>
        </w:rPr>
        <w:t>. Radiation Measurements 41, 264–277.</w:t>
      </w:r>
    </w:p>
    <w:p w14:paraId="289683A0" w14:textId="77777777" w:rsidR="00D71049" w:rsidRPr="00D71049" w:rsidRDefault="00D71049" w:rsidP="00D71049">
      <w:pPr>
        <w:jc w:val="both"/>
        <w:rPr>
          <w:lang w:val="en-AU"/>
        </w:rPr>
      </w:pPr>
    </w:p>
    <w:p w14:paraId="3144559C" w14:textId="77777777" w:rsidR="00D71049" w:rsidRPr="00D71049" w:rsidRDefault="00D71049" w:rsidP="00D71049">
      <w:pPr>
        <w:jc w:val="both"/>
        <w:rPr>
          <w:lang w:val="en-AU"/>
        </w:rPr>
      </w:pPr>
      <w:r w:rsidRPr="00D71049">
        <w:rPr>
          <w:lang w:val="en-AU"/>
        </w:rPr>
        <w:t xml:space="preserve">Jacobs, Z., Duller, G.A.T., </w:t>
      </w:r>
      <w:proofErr w:type="spellStart"/>
      <w:r w:rsidRPr="00D71049">
        <w:rPr>
          <w:lang w:val="en-AU"/>
        </w:rPr>
        <w:t>Wintle</w:t>
      </w:r>
      <w:proofErr w:type="spellEnd"/>
      <w:r w:rsidRPr="00D71049">
        <w:rPr>
          <w:lang w:val="en-AU"/>
        </w:rPr>
        <w:t xml:space="preserve">, A.G., </w:t>
      </w:r>
      <w:proofErr w:type="spellStart"/>
      <w:r w:rsidRPr="00D71049">
        <w:rPr>
          <w:lang w:val="en-AU"/>
        </w:rPr>
        <w:t>Henshilwood</w:t>
      </w:r>
      <w:proofErr w:type="spellEnd"/>
      <w:r w:rsidRPr="00D71049">
        <w:rPr>
          <w:lang w:val="en-AU"/>
        </w:rPr>
        <w:t xml:space="preserve">, C.S., 2006b. Extending the chronology of deposits at </w:t>
      </w:r>
      <w:proofErr w:type="spellStart"/>
      <w:r w:rsidRPr="00D71049">
        <w:rPr>
          <w:lang w:val="en-AU"/>
        </w:rPr>
        <w:t>Blombos</w:t>
      </w:r>
      <w:proofErr w:type="spellEnd"/>
      <w:r w:rsidRPr="00D71049">
        <w:rPr>
          <w:lang w:val="en-AU"/>
        </w:rPr>
        <w:t xml:space="preserve"> Cave, South Africa, back to 140 ka using optical dating of single and multiple grains of quartz. Journal of Human Evolution 51, 255-273.</w:t>
      </w:r>
    </w:p>
    <w:p w14:paraId="25951C43" w14:textId="77777777" w:rsidR="00D71049" w:rsidRPr="00D71049" w:rsidRDefault="00D71049" w:rsidP="00D71049">
      <w:pPr>
        <w:jc w:val="both"/>
        <w:rPr>
          <w:lang w:val="en-AU"/>
        </w:rPr>
      </w:pPr>
    </w:p>
    <w:p w14:paraId="646A00F7" w14:textId="77777777" w:rsidR="00D71049" w:rsidRPr="00D71049" w:rsidRDefault="00D71049" w:rsidP="00D71049">
      <w:pPr>
        <w:jc w:val="both"/>
      </w:pPr>
      <w:r w:rsidRPr="00D71049">
        <w:t xml:space="preserve">Jacobs, Z., </w:t>
      </w:r>
      <w:proofErr w:type="spellStart"/>
      <w:r w:rsidRPr="00D71049">
        <w:t>Wintle</w:t>
      </w:r>
      <w:proofErr w:type="spellEnd"/>
      <w:r w:rsidRPr="00D71049">
        <w:t xml:space="preserve">, A.G., Roberts, R.G., Duller, G.A.T., 2008. Equivalent dose distributions from single grains of quartz at </w:t>
      </w:r>
      <w:proofErr w:type="spellStart"/>
      <w:r w:rsidRPr="00D71049">
        <w:t>Sibudu</w:t>
      </w:r>
      <w:proofErr w:type="spellEnd"/>
      <w:r w:rsidRPr="00D71049">
        <w:t>, South Africa: context, causes and consequences for optical dating of archaeological deposits. Journal of Archaeological Science 35, 1808-1820.</w:t>
      </w:r>
    </w:p>
    <w:p w14:paraId="51B400A3" w14:textId="77777777" w:rsidR="00D71049" w:rsidRPr="00D71049" w:rsidRDefault="00D71049" w:rsidP="00D71049">
      <w:pPr>
        <w:jc w:val="both"/>
        <w:rPr>
          <w:lang w:val="en-AU"/>
        </w:rPr>
      </w:pPr>
    </w:p>
    <w:p w14:paraId="01893F31" w14:textId="77777777" w:rsidR="00D71049" w:rsidRPr="00D71049" w:rsidRDefault="00D71049" w:rsidP="00D71049">
      <w:pPr>
        <w:jc w:val="both"/>
        <w:rPr>
          <w:bCs/>
        </w:rPr>
      </w:pPr>
      <w:r w:rsidRPr="00D71049">
        <w:rPr>
          <w:bCs/>
        </w:rPr>
        <w:t xml:space="preserve">Lewis, R., Tibby, J., Arnold, L.J., Barr, C., Marshall, J., McGregor, G., Gadd, P., Yokoyama, Y., 2020. Insights into subtropical Australian aridity from </w:t>
      </w:r>
      <w:proofErr w:type="spellStart"/>
      <w:r w:rsidRPr="00D71049">
        <w:rPr>
          <w:bCs/>
        </w:rPr>
        <w:t>Welsby</w:t>
      </w:r>
      <w:proofErr w:type="spellEnd"/>
      <w:r w:rsidRPr="00D71049">
        <w:rPr>
          <w:bCs/>
        </w:rPr>
        <w:t xml:space="preserve"> Lagoon, North Stradbroke Island, over the past 80,000 years. Quaternary Science reviews 234, 106262.</w:t>
      </w:r>
    </w:p>
    <w:p w14:paraId="0949E357" w14:textId="77777777" w:rsidR="00D71049" w:rsidRPr="00D71049" w:rsidRDefault="00D71049" w:rsidP="00D71049">
      <w:pPr>
        <w:jc w:val="both"/>
        <w:rPr>
          <w:lang w:val="en-AU"/>
        </w:rPr>
      </w:pPr>
    </w:p>
    <w:p w14:paraId="72A33E58" w14:textId="77777777" w:rsidR="00D71049" w:rsidRPr="00D71049" w:rsidRDefault="00D71049" w:rsidP="00D71049">
      <w:pPr>
        <w:jc w:val="both"/>
        <w:rPr>
          <w:lang w:val="en-AU"/>
        </w:rPr>
      </w:pPr>
      <w:r w:rsidRPr="00D71049">
        <w:rPr>
          <w:lang w:val="en-AU"/>
        </w:rPr>
        <w:t>Martín-</w:t>
      </w:r>
      <w:proofErr w:type="spellStart"/>
      <w:r w:rsidRPr="00D71049">
        <w:rPr>
          <w:lang w:val="en-AU"/>
        </w:rPr>
        <w:t>Chivelet</w:t>
      </w:r>
      <w:proofErr w:type="spellEnd"/>
      <w:r w:rsidRPr="00D71049">
        <w:rPr>
          <w:lang w:val="en-AU"/>
        </w:rPr>
        <w:t xml:space="preserve">, J., Muñoz-García, M.B., Edwards, R.L., </w:t>
      </w:r>
      <w:proofErr w:type="spellStart"/>
      <w:r w:rsidRPr="00D71049">
        <w:rPr>
          <w:lang w:val="en-AU"/>
        </w:rPr>
        <w:t>Turrero</w:t>
      </w:r>
      <w:proofErr w:type="spellEnd"/>
      <w:r w:rsidRPr="00D71049">
        <w:rPr>
          <w:lang w:val="en-AU"/>
        </w:rPr>
        <w:t xml:space="preserve">, M.J., Ortega, A.I., 2011. Land surface temperature changes in Northern Iberia since 4000 </w:t>
      </w:r>
      <w:proofErr w:type="spellStart"/>
      <w:r w:rsidRPr="00D71049">
        <w:rPr>
          <w:lang w:val="en-AU"/>
        </w:rPr>
        <w:t>yr</w:t>
      </w:r>
      <w:proofErr w:type="spellEnd"/>
      <w:r w:rsidRPr="00D71049">
        <w:rPr>
          <w:lang w:val="en-AU"/>
        </w:rPr>
        <w:t xml:space="preserve"> BP, based on δ</w:t>
      </w:r>
      <w:r w:rsidRPr="00D71049">
        <w:rPr>
          <w:vertAlign w:val="superscript"/>
          <w:lang w:val="en-AU"/>
        </w:rPr>
        <w:t>13</w:t>
      </w:r>
      <w:r w:rsidRPr="00D71049">
        <w:rPr>
          <w:lang w:val="en-AU"/>
        </w:rPr>
        <w:t>C of speleothems. Global and Planetary Change 77, 1-12.</w:t>
      </w:r>
    </w:p>
    <w:p w14:paraId="7B9BB515" w14:textId="77777777" w:rsidR="00D71049" w:rsidRPr="00D71049" w:rsidRDefault="00D71049" w:rsidP="00D71049">
      <w:pPr>
        <w:jc w:val="both"/>
        <w:rPr>
          <w:lang w:val="en-AU"/>
        </w:rPr>
      </w:pPr>
    </w:p>
    <w:p w14:paraId="1F7ED9A5" w14:textId="77777777" w:rsidR="00D71049" w:rsidRPr="00D71049" w:rsidRDefault="00D71049" w:rsidP="00D71049">
      <w:pPr>
        <w:jc w:val="both"/>
      </w:pPr>
      <w:proofErr w:type="spellStart"/>
      <w:r w:rsidRPr="00D71049">
        <w:t>Mejdahl</w:t>
      </w:r>
      <w:proofErr w:type="spellEnd"/>
      <w:r w:rsidRPr="00D71049">
        <w:t>, V., 1987. Internal radioactivity in quartz and feldspar grains. Ancient TL 5, 10–17.</w:t>
      </w:r>
    </w:p>
    <w:p w14:paraId="607061E3" w14:textId="77777777" w:rsidR="00D71049" w:rsidRPr="00D71049" w:rsidRDefault="00D71049" w:rsidP="00D71049">
      <w:pPr>
        <w:jc w:val="both"/>
        <w:rPr>
          <w:lang w:val="en-AU"/>
        </w:rPr>
      </w:pPr>
    </w:p>
    <w:p w14:paraId="52681E3A" w14:textId="77777777" w:rsidR="00D71049" w:rsidRPr="00D71049" w:rsidRDefault="00D71049" w:rsidP="00D71049">
      <w:pPr>
        <w:jc w:val="both"/>
        <w:rPr>
          <w:lang w:val="en-AU"/>
        </w:rPr>
      </w:pPr>
      <w:r w:rsidRPr="00D71049">
        <w:rPr>
          <w:lang w:val="en-AU"/>
        </w:rPr>
        <w:t xml:space="preserve">Moreno, D., </w:t>
      </w:r>
      <w:proofErr w:type="spellStart"/>
      <w:r w:rsidRPr="00D71049">
        <w:rPr>
          <w:lang w:val="en-AU"/>
        </w:rPr>
        <w:t>Falgu_eres</w:t>
      </w:r>
      <w:proofErr w:type="spellEnd"/>
      <w:r w:rsidRPr="00D71049">
        <w:rPr>
          <w:lang w:val="en-AU"/>
        </w:rPr>
        <w:t xml:space="preserve">, C., </w:t>
      </w:r>
      <w:proofErr w:type="spellStart"/>
      <w:r w:rsidRPr="00D71049">
        <w:rPr>
          <w:lang w:val="en-AU"/>
        </w:rPr>
        <w:t>P_erez-Gonz_alez</w:t>
      </w:r>
      <w:proofErr w:type="spellEnd"/>
      <w:r w:rsidRPr="00D71049">
        <w:rPr>
          <w:lang w:val="en-AU"/>
        </w:rPr>
        <w:t xml:space="preserve">, A., Duval, M., Voinchet, P., Benito-Calvo, A., Ortega, A.I., Bahain, J.-J., Sala, R., </w:t>
      </w:r>
      <w:proofErr w:type="spellStart"/>
      <w:r w:rsidRPr="00D71049">
        <w:rPr>
          <w:lang w:val="en-AU"/>
        </w:rPr>
        <w:t>Carbonell</w:t>
      </w:r>
      <w:proofErr w:type="spellEnd"/>
      <w:r w:rsidRPr="00D71049">
        <w:rPr>
          <w:lang w:val="en-AU"/>
        </w:rPr>
        <w:t xml:space="preserve">, E., Bermudez de Castro, J.M., Arsuaga, J.L., 2012. ESR chronology of alluvial deposits in the </w:t>
      </w:r>
      <w:proofErr w:type="spellStart"/>
      <w:r w:rsidRPr="00D71049">
        <w:rPr>
          <w:lang w:val="en-AU"/>
        </w:rPr>
        <w:t>Arlanzon</w:t>
      </w:r>
      <w:proofErr w:type="spellEnd"/>
      <w:r w:rsidRPr="00D71049">
        <w:rPr>
          <w:lang w:val="en-AU"/>
        </w:rPr>
        <w:t xml:space="preserve"> valley (Atapuerca, Spain): contemporaneity with Atapuerca Gran Dolina site. Quaternary Geochronology 10, 418-423.</w:t>
      </w:r>
    </w:p>
    <w:p w14:paraId="7F5C6BF6" w14:textId="77777777" w:rsidR="00D71049" w:rsidRPr="00D71049" w:rsidRDefault="00D71049" w:rsidP="00D71049">
      <w:pPr>
        <w:jc w:val="both"/>
        <w:rPr>
          <w:lang w:val="en-AU"/>
        </w:rPr>
      </w:pPr>
    </w:p>
    <w:p w14:paraId="17A6B4DB" w14:textId="77777777" w:rsidR="00D71049" w:rsidRPr="00D71049" w:rsidRDefault="00D71049" w:rsidP="00D71049">
      <w:pPr>
        <w:jc w:val="both"/>
      </w:pPr>
      <w:r w:rsidRPr="00D71049">
        <w:t xml:space="preserve">Pawley, S.M., Bailey, R.M., Rose, J., </w:t>
      </w:r>
      <w:proofErr w:type="spellStart"/>
      <w:r w:rsidRPr="00D71049">
        <w:t>Moorlock</w:t>
      </w:r>
      <w:proofErr w:type="spellEnd"/>
      <w:r w:rsidRPr="00D71049">
        <w:t>, B.S.P., Hamblin, R.J.O., Booth, S.J., Lee, J.R., 2008. Age limits on Middle Pleistocene glacial sediments from OSL dating, north Norfolk, UK. Quaternary Science Reviews 27, 1363-1377.</w:t>
      </w:r>
    </w:p>
    <w:p w14:paraId="7174EC07" w14:textId="77777777" w:rsidR="00D71049" w:rsidRPr="00D71049" w:rsidRDefault="00D71049" w:rsidP="00D71049">
      <w:pPr>
        <w:jc w:val="both"/>
        <w:rPr>
          <w:lang w:val="ca-ES"/>
        </w:rPr>
      </w:pPr>
    </w:p>
    <w:p w14:paraId="2D8FCAC5" w14:textId="77777777" w:rsidR="00D71049" w:rsidRPr="00D71049" w:rsidRDefault="00D71049" w:rsidP="00D71049">
      <w:pPr>
        <w:jc w:val="both"/>
        <w:rPr>
          <w:lang w:val="en-AU"/>
        </w:rPr>
      </w:pPr>
      <w:r w:rsidRPr="00D71049">
        <w:rPr>
          <w:lang w:val="ca-ES"/>
        </w:rPr>
        <w:t>Pellitero, R., Fernández-Fernández, J.M., Campos, N., Serrano, E., Pisabarro, A., 2019. Late Pleistocene climate of the northern Iberian Peninsula: New insights from palaeoglaciers at Fuentes Carrionas (Cantabrian Mountains). Journal of Quaternary Science 34, 342-354.</w:t>
      </w:r>
    </w:p>
    <w:p w14:paraId="0062B5B9" w14:textId="77777777" w:rsidR="00D71049" w:rsidRPr="00D71049" w:rsidRDefault="00D71049" w:rsidP="00D71049">
      <w:pPr>
        <w:jc w:val="both"/>
        <w:rPr>
          <w:lang w:val="en-AU"/>
        </w:rPr>
      </w:pPr>
    </w:p>
    <w:p w14:paraId="65E218A0" w14:textId="77777777" w:rsidR="00D71049" w:rsidRPr="00D71049" w:rsidRDefault="00D71049" w:rsidP="00D71049">
      <w:pPr>
        <w:jc w:val="both"/>
        <w:rPr>
          <w:lang w:val="en-AU"/>
        </w:rPr>
      </w:pPr>
      <w:r w:rsidRPr="00D71049">
        <w:rPr>
          <w:lang w:val="en-AU"/>
        </w:rPr>
        <w:t>Pérez-Díaz, S., López-</w:t>
      </w:r>
      <w:proofErr w:type="spellStart"/>
      <w:r w:rsidRPr="00D71049">
        <w:rPr>
          <w:lang w:val="en-AU"/>
        </w:rPr>
        <w:t>Sáez</w:t>
      </w:r>
      <w:proofErr w:type="spellEnd"/>
      <w:r w:rsidRPr="00D71049">
        <w:rPr>
          <w:lang w:val="en-AU"/>
        </w:rPr>
        <w:t>, J.A., 2021. Late Pleistocene environmental dynamics and human occupation in Southwestern Europe. Quaternary International 595, 39-53.</w:t>
      </w:r>
    </w:p>
    <w:p w14:paraId="2DD7A897" w14:textId="77777777" w:rsidR="00D71049" w:rsidRPr="00D71049" w:rsidRDefault="00D71049" w:rsidP="00D71049">
      <w:pPr>
        <w:jc w:val="both"/>
        <w:rPr>
          <w:lang w:val="en-AU"/>
        </w:rPr>
      </w:pPr>
    </w:p>
    <w:p w14:paraId="456B7163" w14:textId="77777777" w:rsidR="00D71049" w:rsidRPr="00D71049" w:rsidRDefault="00D71049" w:rsidP="00D71049">
      <w:pPr>
        <w:jc w:val="both"/>
      </w:pPr>
      <w:r w:rsidRPr="00D71049">
        <w:t xml:space="preserve">Potts, P.J., Thompson, M., Chenery, S.R.N., Webb, P.C., Kasper, H.U., 2003. Geopt13 - An International Proficiency Test for Analytical Geochemistry Laboratories - Report on Round 13 / July 2003 (Köln Loess). International Association of </w:t>
      </w:r>
      <w:proofErr w:type="spellStart"/>
      <w:r w:rsidRPr="00D71049">
        <w:t>Geoanalysts</w:t>
      </w:r>
      <w:proofErr w:type="spellEnd"/>
      <w:r w:rsidRPr="00D71049">
        <w:t>.</w:t>
      </w:r>
    </w:p>
    <w:p w14:paraId="45E9B636" w14:textId="77777777" w:rsidR="00D71049" w:rsidRPr="00D71049" w:rsidRDefault="00D71049" w:rsidP="00D71049">
      <w:pPr>
        <w:jc w:val="both"/>
        <w:rPr>
          <w:lang w:val="en-AU"/>
        </w:rPr>
      </w:pPr>
    </w:p>
    <w:p w14:paraId="320007E4" w14:textId="77777777" w:rsidR="00D71049" w:rsidRPr="00D71049" w:rsidRDefault="00D71049" w:rsidP="00D71049">
      <w:pPr>
        <w:jc w:val="both"/>
      </w:pPr>
      <w:r w:rsidRPr="00D71049">
        <w:t xml:space="preserve">Prescott, J.R., Hutton, J.T., 1994. Cosmic ray contributions to dose rates for luminescence and ESR </w:t>
      </w:r>
      <w:proofErr w:type="gramStart"/>
      <w:r w:rsidRPr="00D71049">
        <w:t>dating:</w:t>
      </w:r>
      <w:proofErr w:type="gramEnd"/>
      <w:r w:rsidRPr="00D71049">
        <w:t xml:space="preserve"> large depths and long-term time variations. Radiation Measurements 23, 497–500.</w:t>
      </w:r>
    </w:p>
    <w:p w14:paraId="463B7A3D" w14:textId="77777777" w:rsidR="00D71049" w:rsidRPr="00D71049" w:rsidRDefault="00D71049" w:rsidP="00D71049">
      <w:pPr>
        <w:jc w:val="both"/>
        <w:rPr>
          <w:lang w:val="en-AU"/>
        </w:rPr>
      </w:pPr>
    </w:p>
    <w:p w14:paraId="72CD49C7" w14:textId="77777777" w:rsidR="00D71049" w:rsidRPr="00D71049" w:rsidRDefault="00D71049" w:rsidP="00D71049">
      <w:pPr>
        <w:jc w:val="both"/>
      </w:pPr>
      <w:r w:rsidRPr="00D71049">
        <w:lastRenderedPageBreak/>
        <w:t>Rees-Jones, J., 1995. Optical dating of young sediments using fine-grain quartz. Ancient TL 13, 9-14.</w:t>
      </w:r>
    </w:p>
    <w:p w14:paraId="48944C68" w14:textId="77777777" w:rsidR="00D71049" w:rsidRPr="00D71049" w:rsidRDefault="00D71049" w:rsidP="00D71049">
      <w:pPr>
        <w:jc w:val="both"/>
      </w:pPr>
    </w:p>
    <w:p w14:paraId="7C440805" w14:textId="77777777" w:rsidR="00D71049" w:rsidRPr="00D71049" w:rsidRDefault="00D71049" w:rsidP="00D71049">
      <w:pPr>
        <w:jc w:val="both"/>
      </w:pPr>
      <w:r w:rsidRPr="00D71049">
        <w:t xml:space="preserve">Rees-Jones, J., </w:t>
      </w:r>
      <w:proofErr w:type="spellStart"/>
      <w:r w:rsidRPr="00D71049">
        <w:t>Tite</w:t>
      </w:r>
      <w:proofErr w:type="spellEnd"/>
      <w:r w:rsidRPr="00D71049">
        <w:t>, M.S., 1997. Optical dating results for British archaeological sediments. Archaeometry 39, 177-187.</w:t>
      </w:r>
    </w:p>
    <w:p w14:paraId="58F4AAA4" w14:textId="77777777" w:rsidR="00D71049" w:rsidRPr="00D71049" w:rsidRDefault="00D71049" w:rsidP="00D71049">
      <w:pPr>
        <w:jc w:val="both"/>
        <w:rPr>
          <w:bCs/>
          <w:lang w:val="en-AU"/>
        </w:rPr>
      </w:pPr>
    </w:p>
    <w:p w14:paraId="3D43351D" w14:textId="77777777" w:rsidR="00D71049" w:rsidRPr="00D71049" w:rsidRDefault="00D71049" w:rsidP="00D71049">
      <w:pPr>
        <w:jc w:val="both"/>
        <w:rPr>
          <w:bCs/>
          <w:lang w:val="es-ES"/>
        </w:rPr>
      </w:pPr>
      <w:r w:rsidRPr="00D71049">
        <w:rPr>
          <w:bCs/>
          <w:lang w:val="es-ES"/>
        </w:rPr>
        <w:t xml:space="preserve">Santamaría, M., Navazo, M., Benito-Calvo, A., Alonso, R., López, G., &amp; Carbonell, E., 2021. Atapuerca Neanderthal </w:t>
      </w:r>
      <w:proofErr w:type="spellStart"/>
      <w:r w:rsidRPr="00D71049">
        <w:rPr>
          <w:bCs/>
          <w:lang w:val="es-ES"/>
        </w:rPr>
        <w:t>landscape</w:t>
      </w:r>
      <w:proofErr w:type="spellEnd"/>
      <w:r w:rsidRPr="00D71049">
        <w:rPr>
          <w:bCs/>
          <w:lang w:val="es-ES"/>
        </w:rPr>
        <w:t xml:space="preserve"> at Fuente Mudarra site in </w:t>
      </w:r>
      <w:proofErr w:type="gramStart"/>
      <w:r w:rsidRPr="00D71049">
        <w:rPr>
          <w:bCs/>
          <w:lang w:val="es-ES"/>
        </w:rPr>
        <w:t>Burgos ,</w:t>
      </w:r>
      <w:proofErr w:type="gramEnd"/>
      <w:r w:rsidRPr="00D71049">
        <w:rPr>
          <w:bCs/>
          <w:lang w:val="es-ES"/>
        </w:rPr>
        <w:t xml:space="preserve"> </w:t>
      </w:r>
      <w:proofErr w:type="spellStart"/>
      <w:r w:rsidRPr="00D71049">
        <w:rPr>
          <w:bCs/>
          <w:lang w:val="es-ES"/>
        </w:rPr>
        <w:t>Spain</w:t>
      </w:r>
      <w:proofErr w:type="spellEnd"/>
      <w:r w:rsidRPr="00D71049">
        <w:rPr>
          <w:bCs/>
          <w:lang w:val="es-ES"/>
        </w:rPr>
        <w:t xml:space="preserve"> , </w:t>
      </w:r>
      <w:proofErr w:type="spellStart"/>
      <w:r w:rsidRPr="00D71049">
        <w:rPr>
          <w:bCs/>
          <w:lang w:val="es-ES"/>
        </w:rPr>
        <w:t>during</w:t>
      </w:r>
      <w:proofErr w:type="spellEnd"/>
      <w:r w:rsidRPr="00D71049">
        <w:rPr>
          <w:bCs/>
          <w:lang w:val="es-ES"/>
        </w:rPr>
        <w:t xml:space="preserve"> Marine </w:t>
      </w:r>
      <w:proofErr w:type="spellStart"/>
      <w:r w:rsidRPr="00D71049">
        <w:rPr>
          <w:bCs/>
          <w:lang w:val="es-ES"/>
        </w:rPr>
        <w:t>Isotope</w:t>
      </w:r>
      <w:proofErr w:type="spellEnd"/>
      <w:r w:rsidRPr="00D71049">
        <w:rPr>
          <w:bCs/>
          <w:lang w:val="es-ES"/>
        </w:rPr>
        <w:t xml:space="preserve"> </w:t>
      </w:r>
      <w:proofErr w:type="spellStart"/>
      <w:r w:rsidRPr="00D71049">
        <w:rPr>
          <w:bCs/>
          <w:lang w:val="es-ES"/>
        </w:rPr>
        <w:t>Stages</w:t>
      </w:r>
      <w:proofErr w:type="spellEnd"/>
      <w:r w:rsidRPr="00D71049">
        <w:rPr>
          <w:bCs/>
          <w:lang w:val="es-ES"/>
        </w:rPr>
        <w:t xml:space="preserve"> 5–3. </w:t>
      </w:r>
      <w:proofErr w:type="spellStart"/>
      <w:r w:rsidRPr="00D71049">
        <w:rPr>
          <w:bCs/>
          <w:lang w:val="es-ES"/>
        </w:rPr>
        <w:t>Quaternary</w:t>
      </w:r>
      <w:proofErr w:type="spellEnd"/>
      <w:r w:rsidRPr="00D71049">
        <w:rPr>
          <w:bCs/>
          <w:lang w:val="es-ES"/>
        </w:rPr>
        <w:t xml:space="preserve"> Research 99, 248–269.</w:t>
      </w:r>
    </w:p>
    <w:p w14:paraId="565963B7" w14:textId="77777777" w:rsidR="00D71049" w:rsidRPr="00D71049" w:rsidRDefault="00D71049" w:rsidP="00D71049">
      <w:pPr>
        <w:jc w:val="both"/>
        <w:rPr>
          <w:lang w:val="en-AU"/>
        </w:rPr>
      </w:pPr>
    </w:p>
    <w:p w14:paraId="3E533694" w14:textId="77777777" w:rsidR="00D71049" w:rsidRPr="00D71049" w:rsidRDefault="00D71049" w:rsidP="00D71049">
      <w:pPr>
        <w:jc w:val="both"/>
        <w:rPr>
          <w:lang w:val="en-AU"/>
        </w:rPr>
      </w:pPr>
      <w:r w:rsidRPr="00D71049">
        <w:rPr>
          <w:lang w:val="en-AU"/>
        </w:rPr>
        <w:t>Valero-Garcés, B.L., González-</w:t>
      </w:r>
      <w:proofErr w:type="spellStart"/>
      <w:r w:rsidRPr="00D71049">
        <w:rPr>
          <w:lang w:val="en-AU"/>
        </w:rPr>
        <w:t>Sampériz</w:t>
      </w:r>
      <w:proofErr w:type="spellEnd"/>
      <w:r w:rsidRPr="00D71049">
        <w:rPr>
          <w:lang w:val="en-AU"/>
        </w:rPr>
        <w:t xml:space="preserve">, P., Gil </w:t>
      </w:r>
      <w:proofErr w:type="spellStart"/>
      <w:r w:rsidRPr="00D71049">
        <w:rPr>
          <w:lang w:val="en-AU"/>
        </w:rPr>
        <w:t>Romera</w:t>
      </w:r>
      <w:proofErr w:type="spellEnd"/>
      <w:r w:rsidRPr="00D71049">
        <w:rPr>
          <w:lang w:val="en-AU"/>
        </w:rPr>
        <w:t>, G., Benito, B.M., Moreno, A., Oliva-</w:t>
      </w:r>
      <w:proofErr w:type="spellStart"/>
      <w:r w:rsidRPr="00D71049">
        <w:rPr>
          <w:lang w:val="en-AU"/>
        </w:rPr>
        <w:t>Urcia</w:t>
      </w:r>
      <w:proofErr w:type="spellEnd"/>
      <w:r w:rsidRPr="00D71049">
        <w:rPr>
          <w:lang w:val="en-AU"/>
        </w:rPr>
        <w:t xml:space="preserve">, B., </w:t>
      </w:r>
      <w:proofErr w:type="spellStart"/>
      <w:r w:rsidRPr="00D71049">
        <w:rPr>
          <w:lang w:val="en-AU"/>
        </w:rPr>
        <w:t>Aranbarri</w:t>
      </w:r>
      <w:proofErr w:type="spellEnd"/>
      <w:r w:rsidRPr="00D71049">
        <w:rPr>
          <w:lang w:val="en-AU"/>
        </w:rPr>
        <w:t xml:space="preserve">, J., García-Prieto, E., </w:t>
      </w:r>
      <w:proofErr w:type="spellStart"/>
      <w:r w:rsidRPr="00D71049">
        <w:rPr>
          <w:lang w:val="en-AU"/>
        </w:rPr>
        <w:t>Frugone</w:t>
      </w:r>
      <w:proofErr w:type="spellEnd"/>
      <w:r w:rsidRPr="00D71049">
        <w:rPr>
          <w:lang w:val="en-AU"/>
        </w:rPr>
        <w:t xml:space="preserve">, M., </w:t>
      </w:r>
      <w:proofErr w:type="spellStart"/>
      <w:r w:rsidRPr="00D71049">
        <w:rPr>
          <w:lang w:val="en-AU"/>
        </w:rPr>
        <w:t>Morellón</w:t>
      </w:r>
      <w:proofErr w:type="spellEnd"/>
      <w:r w:rsidRPr="00D71049">
        <w:rPr>
          <w:lang w:val="en-AU"/>
        </w:rPr>
        <w:t xml:space="preserve">, M., </w:t>
      </w:r>
      <w:r w:rsidRPr="00D71049">
        <w:rPr>
          <w:b/>
          <w:lang w:val="en-AU"/>
        </w:rPr>
        <w:t>Arnold, L.J.,</w:t>
      </w:r>
      <w:r w:rsidRPr="00D71049">
        <w:rPr>
          <w:lang w:val="en-AU"/>
        </w:rPr>
        <w:t xml:space="preserve"> Demuro, M., Hardiman, M., </w:t>
      </w:r>
      <w:proofErr w:type="spellStart"/>
      <w:r w:rsidRPr="00D71049">
        <w:rPr>
          <w:lang w:val="en-AU"/>
        </w:rPr>
        <w:t>Blockley</w:t>
      </w:r>
      <w:proofErr w:type="spellEnd"/>
      <w:r w:rsidRPr="00D71049">
        <w:rPr>
          <w:lang w:val="en-AU"/>
        </w:rPr>
        <w:t xml:space="preserve">, S.P.E., Lane., C.S., 2019. A multi-dating approach to age-modelling long continental records: The 135 ka </w:t>
      </w:r>
      <w:proofErr w:type="spellStart"/>
      <w:r w:rsidRPr="00D71049">
        <w:rPr>
          <w:lang w:val="en-AU"/>
        </w:rPr>
        <w:t>ElCañizar</w:t>
      </w:r>
      <w:proofErr w:type="spellEnd"/>
      <w:r w:rsidRPr="00D71049">
        <w:rPr>
          <w:lang w:val="en-AU"/>
        </w:rPr>
        <w:t xml:space="preserve"> de </w:t>
      </w:r>
      <w:proofErr w:type="spellStart"/>
      <w:r w:rsidRPr="00D71049">
        <w:rPr>
          <w:lang w:val="en-AU"/>
        </w:rPr>
        <w:t>Villarquemado</w:t>
      </w:r>
      <w:proofErr w:type="spellEnd"/>
      <w:r w:rsidRPr="00D71049">
        <w:rPr>
          <w:lang w:val="en-AU"/>
        </w:rPr>
        <w:t xml:space="preserve"> sequence (NE Spain). Quaternary geochronology 54, 101006.</w:t>
      </w:r>
    </w:p>
    <w:p w14:paraId="1961901A" w14:textId="77777777" w:rsidR="00D71049" w:rsidRPr="00D71049" w:rsidRDefault="00D71049" w:rsidP="00D71049">
      <w:pPr>
        <w:jc w:val="both"/>
        <w:rPr>
          <w:lang w:val="en-AU"/>
        </w:rPr>
      </w:pPr>
    </w:p>
    <w:p w14:paraId="4EE20219" w14:textId="77777777" w:rsidR="00D71049" w:rsidRPr="00D71049" w:rsidRDefault="00D71049" w:rsidP="00D71049">
      <w:pPr>
        <w:jc w:val="both"/>
      </w:pPr>
      <w:r w:rsidRPr="00D71049">
        <w:t xml:space="preserve">Yoshida, H., Roberts, R. G., Olley, J. M., </w:t>
      </w:r>
      <w:proofErr w:type="spellStart"/>
      <w:r w:rsidRPr="00D71049">
        <w:t>Laslett</w:t>
      </w:r>
      <w:proofErr w:type="spellEnd"/>
      <w:r w:rsidRPr="00D71049">
        <w:t>, G. M., Galbraith, R. F., 2000. Extending the age range of optical dating using single ‘</w:t>
      </w:r>
      <w:proofErr w:type="spellStart"/>
      <w:r w:rsidRPr="00D71049">
        <w:t>supergrains</w:t>
      </w:r>
      <w:proofErr w:type="spellEnd"/>
      <w:r w:rsidRPr="00D71049">
        <w:t>’ of quartz. Radiation Measurements 32, 439–446.</w:t>
      </w:r>
    </w:p>
    <w:p w14:paraId="1747B34E" w14:textId="77777777" w:rsidR="000161AE" w:rsidRDefault="000161AE" w:rsidP="00045FED">
      <w:pPr>
        <w:jc w:val="both"/>
      </w:pPr>
    </w:p>
    <w:p w14:paraId="34B66AE3" w14:textId="77777777" w:rsidR="00FB3694" w:rsidRDefault="00FB3694" w:rsidP="00045FED">
      <w:pPr>
        <w:jc w:val="both"/>
        <w:sectPr w:rsidR="00FB3694" w:rsidSect="00045FED">
          <w:footerReference w:type="even" r:id="rId6"/>
          <w:footerReference w:type="default" r:id="rId7"/>
          <w:pgSz w:w="11906" w:h="16838"/>
          <w:pgMar w:top="1134" w:right="1134" w:bottom="1134" w:left="1134" w:header="709" w:footer="709" w:gutter="0"/>
          <w:cols w:space="708"/>
          <w:docGrid w:linePitch="360"/>
        </w:sectPr>
      </w:pPr>
    </w:p>
    <w:p w14:paraId="552F5F1B" w14:textId="77777777" w:rsidR="0004130F" w:rsidRDefault="0004130F" w:rsidP="00045FED">
      <w:pPr>
        <w:jc w:val="both"/>
      </w:pPr>
    </w:p>
    <w:p w14:paraId="15606414" w14:textId="77777777" w:rsidR="00FB3694" w:rsidRDefault="00FB3694" w:rsidP="00FB3694">
      <w:pPr>
        <w:jc w:val="center"/>
      </w:pPr>
    </w:p>
    <w:tbl>
      <w:tblPr>
        <w:tblW w:w="0" w:type="auto"/>
        <w:jc w:val="center"/>
        <w:tblCellMar>
          <w:left w:w="0" w:type="dxa"/>
          <w:right w:w="0" w:type="dxa"/>
        </w:tblCellMar>
        <w:tblLook w:val="0000" w:firstRow="0" w:lastRow="0" w:firstColumn="0" w:lastColumn="0" w:noHBand="0" w:noVBand="0"/>
      </w:tblPr>
      <w:tblGrid>
        <w:gridCol w:w="538"/>
        <w:gridCol w:w="3598"/>
        <w:gridCol w:w="1066"/>
      </w:tblGrid>
      <w:tr w:rsidR="0086528B" w:rsidRPr="00FB3694" w14:paraId="5273DA79" w14:textId="77777777" w:rsidTr="0031738A">
        <w:trPr>
          <w:trHeight w:val="284"/>
          <w:jc w:val="center"/>
        </w:trPr>
        <w:tc>
          <w:tcPr>
            <w:tcW w:w="5186" w:type="dxa"/>
            <w:gridSpan w:val="3"/>
            <w:tcBorders>
              <w:top w:val="single" w:sz="4" w:space="0" w:color="auto"/>
              <w:left w:val="nil"/>
              <w:bottom w:val="single" w:sz="4" w:space="0" w:color="auto"/>
              <w:right w:val="nil"/>
            </w:tcBorders>
            <w:shd w:val="clear" w:color="auto" w:fill="FFFFFF"/>
            <w:vAlign w:val="center"/>
          </w:tcPr>
          <w:p w14:paraId="56DC09E1" w14:textId="77777777" w:rsidR="0086528B" w:rsidRPr="00FB3694" w:rsidRDefault="0086528B" w:rsidP="00224F35">
            <w:pPr>
              <w:jc w:val="center"/>
              <w:rPr>
                <w:rFonts w:ascii="Arial" w:hAnsi="Arial" w:cs="Arial"/>
                <w:b/>
                <w:bCs/>
                <w:sz w:val="18"/>
                <w:szCs w:val="18"/>
              </w:rPr>
            </w:pPr>
            <w:r w:rsidRPr="00FB3694">
              <w:rPr>
                <w:rFonts w:ascii="Arial" w:hAnsi="Arial" w:cs="Arial"/>
                <w:b/>
                <w:bCs/>
                <w:sz w:val="18"/>
                <w:szCs w:val="18"/>
              </w:rPr>
              <w:t>Single-grain OSL SAR procedure</w:t>
            </w:r>
          </w:p>
        </w:tc>
      </w:tr>
      <w:tr w:rsidR="0086528B" w:rsidRPr="00FB3694" w14:paraId="658BE327" w14:textId="77777777" w:rsidTr="0031738A">
        <w:trPr>
          <w:trHeight w:val="284"/>
          <w:jc w:val="center"/>
        </w:trPr>
        <w:tc>
          <w:tcPr>
            <w:tcW w:w="538" w:type="dxa"/>
            <w:tcBorders>
              <w:top w:val="single" w:sz="4" w:space="0" w:color="auto"/>
              <w:left w:val="nil"/>
              <w:bottom w:val="single" w:sz="4" w:space="0" w:color="auto"/>
              <w:right w:val="nil"/>
            </w:tcBorders>
            <w:shd w:val="clear" w:color="auto" w:fill="FFFFFF"/>
            <w:vAlign w:val="center"/>
          </w:tcPr>
          <w:p w14:paraId="7AECCD63" w14:textId="77777777" w:rsidR="0086528B" w:rsidRPr="00FB3694" w:rsidRDefault="0086528B" w:rsidP="00224F35">
            <w:pPr>
              <w:jc w:val="center"/>
              <w:rPr>
                <w:rFonts w:ascii="Arial" w:hAnsi="Arial" w:cs="Arial"/>
                <w:b/>
                <w:bCs/>
                <w:sz w:val="18"/>
                <w:szCs w:val="18"/>
              </w:rPr>
            </w:pPr>
            <w:r w:rsidRPr="00FB3694">
              <w:rPr>
                <w:rFonts w:ascii="Arial" w:hAnsi="Arial" w:cs="Arial"/>
                <w:b/>
                <w:bCs/>
                <w:sz w:val="18"/>
                <w:szCs w:val="18"/>
              </w:rPr>
              <w:t>Step</w:t>
            </w:r>
          </w:p>
        </w:tc>
        <w:tc>
          <w:tcPr>
            <w:tcW w:w="3598" w:type="dxa"/>
            <w:tcBorders>
              <w:top w:val="single" w:sz="4" w:space="0" w:color="auto"/>
              <w:left w:val="nil"/>
              <w:bottom w:val="single" w:sz="4" w:space="0" w:color="auto"/>
              <w:right w:val="nil"/>
            </w:tcBorders>
            <w:shd w:val="clear" w:color="auto" w:fill="FFFFFF"/>
            <w:vAlign w:val="center"/>
          </w:tcPr>
          <w:p w14:paraId="69905708" w14:textId="77777777" w:rsidR="0086528B" w:rsidRPr="00FB3694" w:rsidRDefault="0086528B" w:rsidP="00224F35">
            <w:pPr>
              <w:jc w:val="center"/>
              <w:rPr>
                <w:rFonts w:ascii="Arial" w:hAnsi="Arial" w:cs="Arial"/>
                <w:b/>
                <w:bCs/>
                <w:sz w:val="18"/>
                <w:szCs w:val="18"/>
              </w:rPr>
            </w:pPr>
            <w:r w:rsidRPr="00FB3694">
              <w:rPr>
                <w:rFonts w:ascii="Arial" w:hAnsi="Arial" w:cs="Arial"/>
                <w:b/>
                <w:bCs/>
                <w:sz w:val="18"/>
                <w:szCs w:val="18"/>
              </w:rPr>
              <w:t>Treatment</w:t>
            </w:r>
          </w:p>
        </w:tc>
        <w:tc>
          <w:tcPr>
            <w:tcW w:w="1050" w:type="dxa"/>
            <w:tcBorders>
              <w:top w:val="single" w:sz="4" w:space="0" w:color="auto"/>
              <w:left w:val="nil"/>
              <w:bottom w:val="single" w:sz="4" w:space="0" w:color="auto"/>
              <w:right w:val="nil"/>
            </w:tcBorders>
            <w:shd w:val="clear" w:color="auto" w:fill="FFFFFF"/>
            <w:noWrap/>
            <w:vAlign w:val="center"/>
          </w:tcPr>
          <w:p w14:paraId="6167C8B6" w14:textId="77777777" w:rsidR="0086528B" w:rsidRPr="00FB3694" w:rsidRDefault="0086528B" w:rsidP="00224F35">
            <w:pPr>
              <w:jc w:val="center"/>
              <w:rPr>
                <w:rFonts w:ascii="Arial" w:hAnsi="Arial" w:cs="Arial"/>
                <w:b/>
                <w:bCs/>
                <w:sz w:val="18"/>
                <w:szCs w:val="18"/>
              </w:rPr>
            </w:pPr>
            <w:r>
              <w:rPr>
                <w:rFonts w:ascii="Arial" w:hAnsi="Arial" w:cs="Arial"/>
                <w:b/>
                <w:bCs/>
                <w:sz w:val="18"/>
                <w:szCs w:val="18"/>
              </w:rPr>
              <w:t>Symbol</w:t>
            </w:r>
          </w:p>
        </w:tc>
      </w:tr>
      <w:tr w:rsidR="0086528B" w:rsidRPr="00FB3694" w14:paraId="4DABD6FB" w14:textId="77777777" w:rsidTr="0031738A">
        <w:trPr>
          <w:trHeight w:val="284"/>
          <w:jc w:val="center"/>
        </w:trPr>
        <w:tc>
          <w:tcPr>
            <w:tcW w:w="538" w:type="dxa"/>
            <w:tcBorders>
              <w:top w:val="nil"/>
              <w:left w:val="nil"/>
              <w:bottom w:val="nil"/>
              <w:right w:val="nil"/>
            </w:tcBorders>
            <w:shd w:val="clear" w:color="auto" w:fill="FFFFFF"/>
            <w:vAlign w:val="center"/>
          </w:tcPr>
          <w:p w14:paraId="19D7938D" w14:textId="77777777" w:rsidR="0086528B" w:rsidRPr="00FB3694" w:rsidRDefault="0086528B" w:rsidP="002C4667">
            <w:pPr>
              <w:jc w:val="center"/>
              <w:rPr>
                <w:rFonts w:ascii="Arial" w:hAnsi="Arial" w:cs="Arial"/>
                <w:sz w:val="18"/>
                <w:szCs w:val="18"/>
              </w:rPr>
            </w:pPr>
            <w:r w:rsidRPr="00FB3694">
              <w:rPr>
                <w:rFonts w:ascii="Arial" w:hAnsi="Arial" w:cs="Arial"/>
                <w:sz w:val="18"/>
                <w:szCs w:val="18"/>
              </w:rPr>
              <w:t>1</w:t>
            </w:r>
          </w:p>
        </w:tc>
        <w:tc>
          <w:tcPr>
            <w:tcW w:w="3598" w:type="dxa"/>
            <w:tcBorders>
              <w:top w:val="nil"/>
              <w:left w:val="nil"/>
              <w:bottom w:val="nil"/>
              <w:right w:val="nil"/>
            </w:tcBorders>
            <w:shd w:val="clear" w:color="auto" w:fill="FFFFFF"/>
            <w:vAlign w:val="center"/>
          </w:tcPr>
          <w:p w14:paraId="7E4444FC" w14:textId="77777777" w:rsidR="0086528B" w:rsidRPr="00FB3694" w:rsidRDefault="0086528B" w:rsidP="002C4667">
            <w:pPr>
              <w:rPr>
                <w:rFonts w:ascii="Arial" w:hAnsi="Arial" w:cs="Arial"/>
                <w:sz w:val="18"/>
                <w:szCs w:val="18"/>
              </w:rPr>
            </w:pPr>
            <w:r w:rsidRPr="00FB3694">
              <w:rPr>
                <w:rFonts w:ascii="Arial" w:hAnsi="Arial" w:cs="Arial"/>
                <w:sz w:val="18"/>
                <w:szCs w:val="18"/>
              </w:rPr>
              <w:t>Dose (Natural or laboratory)</w:t>
            </w:r>
          </w:p>
        </w:tc>
        <w:tc>
          <w:tcPr>
            <w:tcW w:w="1050" w:type="dxa"/>
            <w:tcBorders>
              <w:top w:val="nil"/>
              <w:left w:val="nil"/>
              <w:bottom w:val="nil"/>
              <w:right w:val="nil"/>
            </w:tcBorders>
            <w:shd w:val="clear" w:color="auto" w:fill="FFFFFF"/>
            <w:noWrap/>
            <w:vAlign w:val="center"/>
          </w:tcPr>
          <w:p w14:paraId="1C1783AA" w14:textId="77777777" w:rsidR="0086528B" w:rsidRPr="00FB3694" w:rsidRDefault="0086528B" w:rsidP="002C4667">
            <w:pPr>
              <w:jc w:val="center"/>
              <w:rPr>
                <w:rFonts w:ascii="Arial" w:hAnsi="Arial" w:cs="Arial"/>
                <w:sz w:val="18"/>
                <w:szCs w:val="18"/>
              </w:rPr>
            </w:pPr>
            <w:r>
              <w:rPr>
                <w:rFonts w:ascii="Arial" w:hAnsi="Arial" w:cs="Arial"/>
                <w:sz w:val="18"/>
                <w:szCs w:val="18"/>
              </w:rPr>
              <w:t>N or D</w:t>
            </w:r>
          </w:p>
        </w:tc>
      </w:tr>
      <w:tr w:rsidR="0086528B" w:rsidRPr="00FB3694" w14:paraId="6DAF91C3" w14:textId="77777777" w:rsidTr="0031738A">
        <w:trPr>
          <w:trHeight w:val="284"/>
          <w:jc w:val="center"/>
        </w:trPr>
        <w:tc>
          <w:tcPr>
            <w:tcW w:w="538" w:type="dxa"/>
            <w:tcBorders>
              <w:top w:val="nil"/>
              <w:left w:val="nil"/>
              <w:bottom w:val="nil"/>
              <w:right w:val="nil"/>
            </w:tcBorders>
            <w:shd w:val="clear" w:color="auto" w:fill="FFFFFF"/>
            <w:vAlign w:val="center"/>
          </w:tcPr>
          <w:p w14:paraId="7D29B685" w14:textId="77777777" w:rsidR="0086528B" w:rsidRPr="00FB3694" w:rsidRDefault="0086528B" w:rsidP="002C4667">
            <w:pPr>
              <w:jc w:val="center"/>
              <w:rPr>
                <w:rFonts w:ascii="Arial" w:hAnsi="Arial" w:cs="Arial"/>
                <w:sz w:val="18"/>
                <w:szCs w:val="18"/>
              </w:rPr>
            </w:pPr>
            <w:r w:rsidRPr="00FB3694">
              <w:rPr>
                <w:rFonts w:ascii="Arial" w:hAnsi="Arial" w:cs="Arial"/>
                <w:sz w:val="18"/>
                <w:szCs w:val="18"/>
              </w:rPr>
              <w:t>2</w:t>
            </w:r>
            <w:r w:rsidRPr="002C4667">
              <w:rPr>
                <w:rFonts w:ascii="Arial" w:hAnsi="Arial" w:cs="Arial"/>
                <w:sz w:val="18"/>
                <w:szCs w:val="18"/>
              </w:rPr>
              <w:t xml:space="preserve"> </w:t>
            </w:r>
            <w:r w:rsidRPr="002C4667">
              <w:rPr>
                <w:rFonts w:ascii="Arial" w:hAnsi="Arial" w:cs="Arial"/>
                <w:sz w:val="18"/>
                <w:szCs w:val="18"/>
                <w:vertAlign w:val="superscript"/>
              </w:rPr>
              <w:t>a</w:t>
            </w:r>
          </w:p>
        </w:tc>
        <w:tc>
          <w:tcPr>
            <w:tcW w:w="3598" w:type="dxa"/>
            <w:tcBorders>
              <w:top w:val="nil"/>
              <w:left w:val="nil"/>
              <w:bottom w:val="nil"/>
              <w:right w:val="nil"/>
            </w:tcBorders>
            <w:shd w:val="clear" w:color="auto" w:fill="FFFFFF"/>
            <w:vAlign w:val="center"/>
          </w:tcPr>
          <w:p w14:paraId="444C0E9E" w14:textId="77777777" w:rsidR="0086528B" w:rsidRPr="00FB3694" w:rsidRDefault="0086528B" w:rsidP="002C4667">
            <w:pPr>
              <w:rPr>
                <w:rFonts w:ascii="Arial" w:hAnsi="Arial" w:cs="Arial"/>
                <w:sz w:val="18"/>
                <w:szCs w:val="18"/>
              </w:rPr>
            </w:pPr>
            <w:r w:rsidRPr="002C4667">
              <w:rPr>
                <w:rFonts w:ascii="Arial" w:hAnsi="Arial" w:cs="Arial"/>
                <w:sz w:val="18"/>
                <w:szCs w:val="18"/>
              </w:rPr>
              <w:t>IRSL stimulation (50ºC for 60 s)</w:t>
            </w:r>
          </w:p>
        </w:tc>
        <w:tc>
          <w:tcPr>
            <w:tcW w:w="1050" w:type="dxa"/>
            <w:tcBorders>
              <w:top w:val="nil"/>
              <w:left w:val="nil"/>
              <w:bottom w:val="nil"/>
              <w:right w:val="nil"/>
            </w:tcBorders>
            <w:shd w:val="clear" w:color="auto" w:fill="FFFFFF"/>
            <w:noWrap/>
            <w:vAlign w:val="center"/>
          </w:tcPr>
          <w:p w14:paraId="34D99871" w14:textId="77777777" w:rsidR="0086528B" w:rsidRPr="00FB3694" w:rsidRDefault="0086528B" w:rsidP="002C4667">
            <w:pPr>
              <w:jc w:val="center"/>
              <w:rPr>
                <w:rFonts w:ascii="Arial" w:hAnsi="Arial" w:cs="Arial"/>
                <w:sz w:val="18"/>
                <w:szCs w:val="18"/>
              </w:rPr>
            </w:pPr>
          </w:p>
        </w:tc>
      </w:tr>
      <w:tr w:rsidR="0086528B" w:rsidRPr="00FB3694" w14:paraId="3D8DACBA" w14:textId="77777777" w:rsidTr="0031738A">
        <w:trPr>
          <w:trHeight w:hRule="exact" w:val="284"/>
          <w:jc w:val="center"/>
        </w:trPr>
        <w:tc>
          <w:tcPr>
            <w:tcW w:w="538" w:type="dxa"/>
            <w:tcBorders>
              <w:top w:val="nil"/>
              <w:left w:val="nil"/>
              <w:bottom w:val="nil"/>
              <w:right w:val="nil"/>
            </w:tcBorders>
            <w:shd w:val="clear" w:color="auto" w:fill="FFFFFF"/>
            <w:vAlign w:val="center"/>
          </w:tcPr>
          <w:p w14:paraId="2A2B60E2" w14:textId="77777777" w:rsidR="0086528B" w:rsidRPr="00FB3694" w:rsidRDefault="0086528B" w:rsidP="002C4667">
            <w:pPr>
              <w:jc w:val="center"/>
              <w:rPr>
                <w:rFonts w:ascii="Arial" w:hAnsi="Arial" w:cs="Arial"/>
                <w:sz w:val="18"/>
                <w:szCs w:val="18"/>
              </w:rPr>
            </w:pPr>
            <w:r w:rsidRPr="00FB3694">
              <w:rPr>
                <w:rFonts w:ascii="Arial" w:hAnsi="Arial" w:cs="Arial"/>
                <w:sz w:val="18"/>
                <w:szCs w:val="18"/>
              </w:rPr>
              <w:t>3</w:t>
            </w:r>
          </w:p>
        </w:tc>
        <w:tc>
          <w:tcPr>
            <w:tcW w:w="3598" w:type="dxa"/>
            <w:tcBorders>
              <w:top w:val="nil"/>
              <w:left w:val="nil"/>
              <w:bottom w:val="nil"/>
              <w:right w:val="nil"/>
            </w:tcBorders>
            <w:shd w:val="clear" w:color="auto" w:fill="FFFFFF"/>
            <w:vAlign w:val="center"/>
          </w:tcPr>
          <w:p w14:paraId="5D309877" w14:textId="135BC392" w:rsidR="0086528B" w:rsidRPr="00FB3694" w:rsidRDefault="0086528B" w:rsidP="007E6406">
            <w:pPr>
              <w:rPr>
                <w:rFonts w:ascii="Arial" w:hAnsi="Arial" w:cs="Arial"/>
                <w:sz w:val="18"/>
                <w:szCs w:val="18"/>
              </w:rPr>
            </w:pPr>
            <w:r w:rsidRPr="00FB3694">
              <w:rPr>
                <w:rFonts w:ascii="Arial" w:hAnsi="Arial" w:cs="Arial"/>
                <w:sz w:val="18"/>
                <w:szCs w:val="18"/>
              </w:rPr>
              <w:t>Preheat 1 (</w:t>
            </w:r>
            <w:r>
              <w:rPr>
                <w:rFonts w:ascii="Arial" w:hAnsi="Arial" w:cs="Arial"/>
                <w:sz w:val="18"/>
                <w:szCs w:val="18"/>
              </w:rPr>
              <w:t>220</w:t>
            </w:r>
            <w:r w:rsidRPr="00FB3694">
              <w:rPr>
                <w:rFonts w:ascii="Arial" w:hAnsi="Arial" w:cs="Arial"/>
                <w:sz w:val="18"/>
                <w:szCs w:val="18"/>
              </w:rPr>
              <w:t>ºC for 10 s)</w:t>
            </w:r>
          </w:p>
        </w:tc>
        <w:tc>
          <w:tcPr>
            <w:tcW w:w="1050" w:type="dxa"/>
            <w:tcBorders>
              <w:top w:val="nil"/>
              <w:left w:val="nil"/>
              <w:bottom w:val="nil"/>
              <w:right w:val="nil"/>
            </w:tcBorders>
            <w:shd w:val="clear" w:color="auto" w:fill="FFFFFF"/>
            <w:noWrap/>
            <w:vAlign w:val="center"/>
          </w:tcPr>
          <w:p w14:paraId="2C55E952" w14:textId="77777777" w:rsidR="0086528B" w:rsidRPr="00FB3694" w:rsidRDefault="0086528B" w:rsidP="002C4667">
            <w:pPr>
              <w:jc w:val="center"/>
              <w:rPr>
                <w:rFonts w:ascii="Arial" w:hAnsi="Arial" w:cs="Arial"/>
                <w:sz w:val="18"/>
                <w:szCs w:val="18"/>
              </w:rPr>
            </w:pPr>
            <w:r>
              <w:rPr>
                <w:rFonts w:ascii="Arial" w:hAnsi="Arial" w:cs="Arial"/>
                <w:sz w:val="18"/>
                <w:szCs w:val="18"/>
              </w:rPr>
              <w:t>PH</w:t>
            </w:r>
            <w:r w:rsidRPr="002C4667">
              <w:rPr>
                <w:rFonts w:ascii="Arial" w:hAnsi="Arial" w:cs="Arial"/>
                <w:sz w:val="18"/>
                <w:szCs w:val="18"/>
                <w:vertAlign w:val="subscript"/>
              </w:rPr>
              <w:t>1</w:t>
            </w:r>
          </w:p>
        </w:tc>
      </w:tr>
      <w:tr w:rsidR="0086528B" w:rsidRPr="00FB3694" w14:paraId="782C17FD" w14:textId="77777777" w:rsidTr="0031738A">
        <w:trPr>
          <w:trHeight w:val="284"/>
          <w:jc w:val="center"/>
        </w:trPr>
        <w:tc>
          <w:tcPr>
            <w:tcW w:w="538" w:type="dxa"/>
            <w:tcBorders>
              <w:top w:val="nil"/>
              <w:left w:val="nil"/>
              <w:bottom w:val="nil"/>
              <w:right w:val="nil"/>
            </w:tcBorders>
            <w:shd w:val="clear" w:color="auto" w:fill="FFFFFF"/>
            <w:vAlign w:val="center"/>
          </w:tcPr>
          <w:p w14:paraId="448A4F55" w14:textId="77777777" w:rsidR="0086528B" w:rsidRPr="00FB3694" w:rsidRDefault="0086528B" w:rsidP="002C4667">
            <w:pPr>
              <w:jc w:val="center"/>
              <w:rPr>
                <w:rFonts w:ascii="Arial" w:hAnsi="Arial" w:cs="Arial"/>
                <w:sz w:val="18"/>
                <w:szCs w:val="18"/>
              </w:rPr>
            </w:pPr>
            <w:r w:rsidRPr="00FB3694">
              <w:rPr>
                <w:rFonts w:ascii="Arial" w:hAnsi="Arial" w:cs="Arial"/>
                <w:sz w:val="18"/>
                <w:szCs w:val="18"/>
              </w:rPr>
              <w:t>4</w:t>
            </w:r>
          </w:p>
        </w:tc>
        <w:tc>
          <w:tcPr>
            <w:tcW w:w="3598" w:type="dxa"/>
            <w:tcBorders>
              <w:top w:val="nil"/>
              <w:left w:val="nil"/>
              <w:bottom w:val="nil"/>
              <w:right w:val="nil"/>
            </w:tcBorders>
            <w:shd w:val="clear" w:color="auto" w:fill="FFFFFF"/>
            <w:vAlign w:val="center"/>
          </w:tcPr>
          <w:p w14:paraId="091259E8" w14:textId="77777777" w:rsidR="0086528B" w:rsidRPr="00FB3694" w:rsidRDefault="0086528B" w:rsidP="002C4667">
            <w:pPr>
              <w:rPr>
                <w:rFonts w:ascii="Arial" w:hAnsi="Arial" w:cs="Arial"/>
                <w:sz w:val="18"/>
                <w:szCs w:val="18"/>
              </w:rPr>
            </w:pPr>
            <w:r w:rsidRPr="00FB3694">
              <w:rPr>
                <w:rFonts w:ascii="Arial" w:hAnsi="Arial" w:cs="Arial"/>
                <w:sz w:val="18"/>
                <w:szCs w:val="18"/>
              </w:rPr>
              <w:t>Single-grain OSL stimulation (125ºC for 2 s)</w:t>
            </w:r>
          </w:p>
        </w:tc>
        <w:tc>
          <w:tcPr>
            <w:tcW w:w="1050" w:type="dxa"/>
            <w:tcBorders>
              <w:top w:val="nil"/>
              <w:left w:val="nil"/>
              <w:bottom w:val="nil"/>
              <w:right w:val="nil"/>
            </w:tcBorders>
            <w:shd w:val="clear" w:color="auto" w:fill="FFFFFF"/>
            <w:noWrap/>
            <w:vAlign w:val="center"/>
          </w:tcPr>
          <w:p w14:paraId="200FCD95" w14:textId="77777777" w:rsidR="0086528B" w:rsidRPr="00FB3694" w:rsidRDefault="0086528B" w:rsidP="002C4667">
            <w:pPr>
              <w:jc w:val="center"/>
              <w:rPr>
                <w:rFonts w:ascii="Arial" w:hAnsi="Arial" w:cs="Arial"/>
                <w:sz w:val="18"/>
                <w:szCs w:val="18"/>
              </w:rPr>
            </w:pPr>
            <w:r w:rsidRPr="00FB3694">
              <w:rPr>
                <w:rFonts w:ascii="Arial" w:hAnsi="Arial" w:cs="Arial"/>
                <w:sz w:val="18"/>
                <w:szCs w:val="18"/>
              </w:rPr>
              <w:t>L</w:t>
            </w:r>
            <w:r w:rsidRPr="00FB3694">
              <w:rPr>
                <w:rFonts w:ascii="Arial" w:hAnsi="Arial" w:cs="Arial"/>
                <w:sz w:val="18"/>
                <w:szCs w:val="18"/>
                <w:vertAlign w:val="subscript"/>
              </w:rPr>
              <w:t>n</w:t>
            </w:r>
            <w:r w:rsidRPr="00FB3694">
              <w:rPr>
                <w:rFonts w:ascii="Arial" w:hAnsi="Arial" w:cs="Arial"/>
                <w:sz w:val="18"/>
                <w:szCs w:val="18"/>
              </w:rPr>
              <w:t xml:space="preserve"> or L</w:t>
            </w:r>
            <w:r w:rsidRPr="00FB3694">
              <w:rPr>
                <w:rFonts w:ascii="Arial" w:hAnsi="Arial" w:cs="Arial"/>
                <w:sz w:val="18"/>
                <w:szCs w:val="18"/>
                <w:vertAlign w:val="subscript"/>
              </w:rPr>
              <w:t>x</w:t>
            </w:r>
          </w:p>
        </w:tc>
      </w:tr>
      <w:tr w:rsidR="0086528B" w:rsidRPr="00FB3694" w14:paraId="2CCEF194" w14:textId="77777777" w:rsidTr="0031738A">
        <w:trPr>
          <w:trHeight w:val="284"/>
          <w:jc w:val="center"/>
        </w:trPr>
        <w:tc>
          <w:tcPr>
            <w:tcW w:w="538" w:type="dxa"/>
            <w:tcBorders>
              <w:top w:val="nil"/>
              <w:left w:val="nil"/>
              <w:bottom w:val="nil"/>
              <w:right w:val="nil"/>
            </w:tcBorders>
            <w:shd w:val="clear" w:color="auto" w:fill="FFFFFF"/>
            <w:vAlign w:val="center"/>
          </w:tcPr>
          <w:p w14:paraId="1AC5C838" w14:textId="77777777" w:rsidR="0086528B" w:rsidRPr="00FB3694" w:rsidRDefault="0086528B" w:rsidP="002C4667">
            <w:pPr>
              <w:jc w:val="center"/>
              <w:rPr>
                <w:rFonts w:ascii="Arial" w:hAnsi="Arial" w:cs="Arial"/>
                <w:sz w:val="18"/>
                <w:szCs w:val="18"/>
              </w:rPr>
            </w:pPr>
            <w:r w:rsidRPr="00FB3694">
              <w:rPr>
                <w:rFonts w:ascii="Arial" w:hAnsi="Arial" w:cs="Arial"/>
                <w:sz w:val="18"/>
                <w:szCs w:val="18"/>
              </w:rPr>
              <w:t>5</w:t>
            </w:r>
          </w:p>
        </w:tc>
        <w:tc>
          <w:tcPr>
            <w:tcW w:w="3598" w:type="dxa"/>
            <w:tcBorders>
              <w:top w:val="nil"/>
              <w:left w:val="nil"/>
              <w:bottom w:val="nil"/>
              <w:right w:val="nil"/>
            </w:tcBorders>
            <w:shd w:val="clear" w:color="auto" w:fill="FFFFFF"/>
            <w:vAlign w:val="center"/>
          </w:tcPr>
          <w:p w14:paraId="309EBC73" w14:textId="62BEEC94" w:rsidR="0086528B" w:rsidRPr="00FB3694" w:rsidRDefault="0086528B" w:rsidP="007E6406">
            <w:pPr>
              <w:rPr>
                <w:rFonts w:ascii="Arial" w:hAnsi="Arial" w:cs="Arial"/>
                <w:sz w:val="18"/>
                <w:szCs w:val="18"/>
              </w:rPr>
            </w:pPr>
            <w:r w:rsidRPr="00FB3694">
              <w:rPr>
                <w:rFonts w:ascii="Arial" w:hAnsi="Arial" w:cs="Arial"/>
                <w:sz w:val="18"/>
                <w:szCs w:val="18"/>
              </w:rPr>
              <w:t>Test dose (2</w:t>
            </w:r>
            <w:r>
              <w:rPr>
                <w:rFonts w:ascii="Arial" w:hAnsi="Arial" w:cs="Arial"/>
                <w:sz w:val="18"/>
                <w:szCs w:val="18"/>
              </w:rPr>
              <w:t>0</w:t>
            </w:r>
            <w:r w:rsidRPr="00FB3694">
              <w:rPr>
                <w:rFonts w:ascii="Arial" w:hAnsi="Arial" w:cs="Arial"/>
                <w:sz w:val="18"/>
                <w:szCs w:val="18"/>
              </w:rPr>
              <w:t xml:space="preserve"> </w:t>
            </w:r>
            <w:proofErr w:type="spellStart"/>
            <w:r w:rsidRPr="00FB3694">
              <w:rPr>
                <w:rFonts w:ascii="Arial" w:hAnsi="Arial" w:cs="Arial"/>
                <w:sz w:val="18"/>
                <w:szCs w:val="18"/>
              </w:rPr>
              <w:t>Gy</w:t>
            </w:r>
            <w:proofErr w:type="spellEnd"/>
            <w:r w:rsidRPr="00FB3694">
              <w:rPr>
                <w:rFonts w:ascii="Arial" w:hAnsi="Arial" w:cs="Arial"/>
                <w:sz w:val="18"/>
                <w:szCs w:val="18"/>
              </w:rPr>
              <w:t>)</w:t>
            </w:r>
          </w:p>
        </w:tc>
        <w:tc>
          <w:tcPr>
            <w:tcW w:w="1050" w:type="dxa"/>
            <w:tcBorders>
              <w:top w:val="nil"/>
              <w:left w:val="nil"/>
              <w:bottom w:val="nil"/>
              <w:right w:val="nil"/>
            </w:tcBorders>
            <w:shd w:val="clear" w:color="auto" w:fill="FFFFFF"/>
            <w:noWrap/>
            <w:vAlign w:val="center"/>
          </w:tcPr>
          <w:p w14:paraId="54B052C8" w14:textId="77777777" w:rsidR="0086528B" w:rsidRPr="00FB3694" w:rsidRDefault="0086528B" w:rsidP="002C4667">
            <w:pPr>
              <w:jc w:val="center"/>
              <w:rPr>
                <w:rFonts w:ascii="Arial" w:hAnsi="Arial" w:cs="Arial"/>
                <w:sz w:val="18"/>
                <w:szCs w:val="18"/>
              </w:rPr>
            </w:pPr>
            <w:r>
              <w:rPr>
                <w:rFonts w:ascii="Arial" w:hAnsi="Arial" w:cs="Arial"/>
                <w:sz w:val="18"/>
                <w:szCs w:val="18"/>
              </w:rPr>
              <w:t>T</w:t>
            </w:r>
            <w:r w:rsidRPr="002C4667">
              <w:rPr>
                <w:rFonts w:ascii="Arial" w:hAnsi="Arial" w:cs="Arial"/>
                <w:sz w:val="18"/>
                <w:szCs w:val="18"/>
                <w:vertAlign w:val="subscript"/>
              </w:rPr>
              <w:t>d</w:t>
            </w:r>
          </w:p>
        </w:tc>
      </w:tr>
      <w:tr w:rsidR="0086528B" w:rsidRPr="00FB3694" w14:paraId="49683298" w14:textId="77777777" w:rsidTr="0031738A">
        <w:trPr>
          <w:trHeight w:val="284"/>
          <w:jc w:val="center"/>
        </w:trPr>
        <w:tc>
          <w:tcPr>
            <w:tcW w:w="538" w:type="dxa"/>
            <w:tcBorders>
              <w:top w:val="nil"/>
              <w:left w:val="nil"/>
              <w:bottom w:val="nil"/>
              <w:right w:val="nil"/>
            </w:tcBorders>
            <w:shd w:val="clear" w:color="auto" w:fill="FFFFFF"/>
            <w:vAlign w:val="center"/>
          </w:tcPr>
          <w:p w14:paraId="6DF3FFA0" w14:textId="77777777" w:rsidR="0086528B" w:rsidRPr="00FB3694" w:rsidRDefault="0086528B" w:rsidP="002C4667">
            <w:pPr>
              <w:jc w:val="center"/>
              <w:rPr>
                <w:rFonts w:ascii="Arial" w:hAnsi="Arial" w:cs="Arial"/>
                <w:sz w:val="18"/>
                <w:szCs w:val="18"/>
              </w:rPr>
            </w:pPr>
            <w:r w:rsidRPr="00FB3694">
              <w:rPr>
                <w:rFonts w:ascii="Arial" w:hAnsi="Arial" w:cs="Arial"/>
                <w:sz w:val="18"/>
                <w:szCs w:val="18"/>
              </w:rPr>
              <w:t>6</w:t>
            </w:r>
          </w:p>
        </w:tc>
        <w:tc>
          <w:tcPr>
            <w:tcW w:w="3598" w:type="dxa"/>
            <w:tcBorders>
              <w:top w:val="nil"/>
              <w:left w:val="nil"/>
              <w:bottom w:val="nil"/>
              <w:right w:val="nil"/>
            </w:tcBorders>
            <w:shd w:val="clear" w:color="auto" w:fill="FFFFFF"/>
            <w:vAlign w:val="center"/>
          </w:tcPr>
          <w:p w14:paraId="44A29CCE" w14:textId="77777777" w:rsidR="0086528B" w:rsidRPr="00FB3694" w:rsidRDefault="0086528B" w:rsidP="00A727C5">
            <w:pPr>
              <w:rPr>
                <w:rFonts w:ascii="Arial" w:hAnsi="Arial" w:cs="Arial"/>
                <w:sz w:val="18"/>
                <w:szCs w:val="18"/>
              </w:rPr>
            </w:pPr>
            <w:r w:rsidRPr="00FB3694">
              <w:rPr>
                <w:rFonts w:ascii="Arial" w:hAnsi="Arial" w:cs="Arial"/>
                <w:sz w:val="18"/>
                <w:szCs w:val="18"/>
              </w:rPr>
              <w:t>Preheat 2 (</w:t>
            </w:r>
            <w:r>
              <w:rPr>
                <w:rFonts w:ascii="Arial" w:hAnsi="Arial" w:cs="Arial"/>
                <w:sz w:val="18"/>
                <w:szCs w:val="18"/>
              </w:rPr>
              <w:t>160</w:t>
            </w:r>
            <w:r w:rsidRPr="00FB3694">
              <w:rPr>
                <w:rFonts w:ascii="Arial" w:hAnsi="Arial" w:cs="Arial"/>
                <w:sz w:val="18"/>
                <w:szCs w:val="18"/>
              </w:rPr>
              <w:t>ºC for 10 s)</w:t>
            </w:r>
          </w:p>
        </w:tc>
        <w:tc>
          <w:tcPr>
            <w:tcW w:w="1050" w:type="dxa"/>
            <w:tcBorders>
              <w:top w:val="nil"/>
              <w:left w:val="nil"/>
              <w:bottom w:val="nil"/>
              <w:right w:val="nil"/>
            </w:tcBorders>
            <w:shd w:val="clear" w:color="auto" w:fill="FFFFFF"/>
            <w:noWrap/>
            <w:vAlign w:val="center"/>
          </w:tcPr>
          <w:p w14:paraId="2D665218" w14:textId="77777777" w:rsidR="0086528B" w:rsidRPr="00FB3694" w:rsidRDefault="0086528B" w:rsidP="002C4667">
            <w:pPr>
              <w:jc w:val="center"/>
              <w:rPr>
                <w:rFonts w:ascii="Arial" w:hAnsi="Arial" w:cs="Arial"/>
                <w:sz w:val="18"/>
                <w:szCs w:val="18"/>
              </w:rPr>
            </w:pPr>
            <w:r>
              <w:rPr>
                <w:rFonts w:ascii="Arial" w:hAnsi="Arial" w:cs="Arial"/>
                <w:sz w:val="18"/>
                <w:szCs w:val="18"/>
              </w:rPr>
              <w:t>PH</w:t>
            </w:r>
            <w:r w:rsidRPr="002C4667">
              <w:rPr>
                <w:rFonts w:ascii="Arial" w:hAnsi="Arial" w:cs="Arial"/>
                <w:sz w:val="18"/>
                <w:szCs w:val="18"/>
                <w:vertAlign w:val="subscript"/>
              </w:rPr>
              <w:t>2</w:t>
            </w:r>
          </w:p>
        </w:tc>
      </w:tr>
      <w:tr w:rsidR="0086528B" w:rsidRPr="00FB3694" w14:paraId="3A6646D6" w14:textId="77777777" w:rsidTr="0031738A">
        <w:trPr>
          <w:trHeight w:val="284"/>
          <w:jc w:val="center"/>
        </w:trPr>
        <w:tc>
          <w:tcPr>
            <w:tcW w:w="538" w:type="dxa"/>
            <w:tcBorders>
              <w:top w:val="nil"/>
              <w:left w:val="nil"/>
              <w:bottom w:val="nil"/>
              <w:right w:val="nil"/>
            </w:tcBorders>
            <w:shd w:val="clear" w:color="auto" w:fill="FFFFFF"/>
            <w:vAlign w:val="center"/>
          </w:tcPr>
          <w:p w14:paraId="1C7DA8B2" w14:textId="77777777" w:rsidR="0086528B" w:rsidRPr="00FB3694" w:rsidRDefault="0086528B" w:rsidP="002C4667">
            <w:pPr>
              <w:jc w:val="center"/>
              <w:rPr>
                <w:rFonts w:ascii="Arial" w:hAnsi="Arial" w:cs="Arial"/>
                <w:sz w:val="18"/>
                <w:szCs w:val="18"/>
              </w:rPr>
            </w:pPr>
            <w:r w:rsidRPr="00FB3694">
              <w:rPr>
                <w:rFonts w:ascii="Arial" w:hAnsi="Arial" w:cs="Arial"/>
                <w:sz w:val="18"/>
                <w:szCs w:val="18"/>
              </w:rPr>
              <w:t>7</w:t>
            </w:r>
          </w:p>
        </w:tc>
        <w:tc>
          <w:tcPr>
            <w:tcW w:w="3598" w:type="dxa"/>
            <w:tcBorders>
              <w:top w:val="nil"/>
              <w:left w:val="nil"/>
              <w:bottom w:val="nil"/>
              <w:right w:val="nil"/>
            </w:tcBorders>
            <w:shd w:val="clear" w:color="auto" w:fill="FFFFFF"/>
            <w:vAlign w:val="center"/>
          </w:tcPr>
          <w:p w14:paraId="1BBD776D" w14:textId="77777777" w:rsidR="0086528B" w:rsidRPr="00FB3694" w:rsidRDefault="0086528B" w:rsidP="002C4667">
            <w:pPr>
              <w:rPr>
                <w:rFonts w:ascii="Arial" w:hAnsi="Arial" w:cs="Arial"/>
                <w:sz w:val="18"/>
                <w:szCs w:val="18"/>
              </w:rPr>
            </w:pPr>
            <w:r w:rsidRPr="00FB3694">
              <w:rPr>
                <w:rFonts w:ascii="Arial" w:hAnsi="Arial" w:cs="Arial"/>
                <w:sz w:val="18"/>
                <w:szCs w:val="18"/>
              </w:rPr>
              <w:t>Single-grain OSL stimulation (125ºC for 2 s)</w:t>
            </w:r>
          </w:p>
        </w:tc>
        <w:tc>
          <w:tcPr>
            <w:tcW w:w="1050" w:type="dxa"/>
            <w:tcBorders>
              <w:top w:val="nil"/>
              <w:left w:val="nil"/>
              <w:bottom w:val="nil"/>
              <w:right w:val="nil"/>
            </w:tcBorders>
            <w:shd w:val="clear" w:color="auto" w:fill="FFFFFF"/>
            <w:noWrap/>
            <w:vAlign w:val="center"/>
          </w:tcPr>
          <w:p w14:paraId="4E9B645E" w14:textId="77777777" w:rsidR="0086528B" w:rsidRPr="00FB3694" w:rsidRDefault="0086528B" w:rsidP="002C4667">
            <w:pPr>
              <w:jc w:val="center"/>
              <w:rPr>
                <w:rFonts w:ascii="Arial" w:hAnsi="Arial" w:cs="Arial"/>
                <w:sz w:val="18"/>
                <w:szCs w:val="18"/>
              </w:rPr>
            </w:pPr>
            <w:r w:rsidRPr="00FB3694">
              <w:rPr>
                <w:rFonts w:ascii="Arial" w:hAnsi="Arial" w:cs="Arial"/>
                <w:sz w:val="18"/>
                <w:szCs w:val="18"/>
              </w:rPr>
              <w:t>T</w:t>
            </w:r>
            <w:r w:rsidRPr="00FB3694">
              <w:rPr>
                <w:rFonts w:ascii="Arial" w:hAnsi="Arial" w:cs="Arial"/>
                <w:sz w:val="18"/>
                <w:szCs w:val="18"/>
                <w:vertAlign w:val="subscript"/>
              </w:rPr>
              <w:t>n</w:t>
            </w:r>
            <w:r w:rsidRPr="00FB3694">
              <w:rPr>
                <w:rFonts w:ascii="Arial" w:hAnsi="Arial" w:cs="Arial"/>
                <w:sz w:val="18"/>
                <w:szCs w:val="18"/>
              </w:rPr>
              <w:t xml:space="preserve"> or T</w:t>
            </w:r>
            <w:r w:rsidRPr="00FB3694">
              <w:rPr>
                <w:rFonts w:ascii="Arial" w:hAnsi="Arial" w:cs="Arial"/>
                <w:sz w:val="18"/>
                <w:szCs w:val="18"/>
                <w:vertAlign w:val="subscript"/>
              </w:rPr>
              <w:t>x</w:t>
            </w:r>
          </w:p>
        </w:tc>
      </w:tr>
      <w:tr w:rsidR="0086528B" w:rsidRPr="00FB3694" w14:paraId="3BD26CE3" w14:textId="77777777" w:rsidTr="0031738A">
        <w:trPr>
          <w:trHeight w:val="284"/>
          <w:jc w:val="center"/>
        </w:trPr>
        <w:tc>
          <w:tcPr>
            <w:tcW w:w="538" w:type="dxa"/>
            <w:tcBorders>
              <w:top w:val="nil"/>
              <w:left w:val="nil"/>
              <w:right w:val="nil"/>
            </w:tcBorders>
            <w:shd w:val="clear" w:color="auto" w:fill="FFFFFF"/>
            <w:vAlign w:val="center"/>
          </w:tcPr>
          <w:p w14:paraId="39886F5D" w14:textId="77777777" w:rsidR="0086528B" w:rsidRPr="00FB3694" w:rsidRDefault="0086528B" w:rsidP="002C4667">
            <w:pPr>
              <w:jc w:val="center"/>
              <w:rPr>
                <w:rFonts w:ascii="Arial" w:hAnsi="Arial" w:cs="Arial"/>
                <w:sz w:val="18"/>
                <w:szCs w:val="18"/>
              </w:rPr>
            </w:pPr>
            <w:r w:rsidRPr="00FB3694">
              <w:rPr>
                <w:rFonts w:ascii="Arial" w:hAnsi="Arial" w:cs="Arial"/>
                <w:sz w:val="18"/>
                <w:szCs w:val="18"/>
              </w:rPr>
              <w:t>8</w:t>
            </w:r>
          </w:p>
        </w:tc>
        <w:tc>
          <w:tcPr>
            <w:tcW w:w="3598" w:type="dxa"/>
            <w:tcBorders>
              <w:top w:val="nil"/>
              <w:left w:val="nil"/>
              <w:right w:val="nil"/>
            </w:tcBorders>
            <w:shd w:val="clear" w:color="auto" w:fill="FFFFFF"/>
            <w:vAlign w:val="center"/>
          </w:tcPr>
          <w:p w14:paraId="42251F3F" w14:textId="77777777" w:rsidR="0086528B" w:rsidRPr="00FB3694" w:rsidRDefault="0086528B" w:rsidP="002C4667">
            <w:pPr>
              <w:rPr>
                <w:rFonts w:ascii="Arial" w:hAnsi="Arial" w:cs="Arial"/>
                <w:sz w:val="18"/>
                <w:szCs w:val="18"/>
              </w:rPr>
            </w:pPr>
            <w:r w:rsidRPr="00FB3694">
              <w:rPr>
                <w:rFonts w:ascii="Arial" w:hAnsi="Arial" w:cs="Arial"/>
                <w:sz w:val="18"/>
                <w:szCs w:val="18"/>
              </w:rPr>
              <w:t>Repeat measurement cycle for different</w:t>
            </w:r>
          </w:p>
        </w:tc>
        <w:tc>
          <w:tcPr>
            <w:tcW w:w="1050" w:type="dxa"/>
            <w:tcBorders>
              <w:top w:val="nil"/>
              <w:left w:val="nil"/>
              <w:right w:val="nil"/>
            </w:tcBorders>
            <w:shd w:val="clear" w:color="auto" w:fill="FFFFFF"/>
            <w:noWrap/>
            <w:vAlign w:val="center"/>
          </w:tcPr>
          <w:p w14:paraId="252C9EBD" w14:textId="77777777" w:rsidR="0086528B" w:rsidRPr="00FB3694" w:rsidRDefault="0086528B" w:rsidP="002C4667">
            <w:pPr>
              <w:jc w:val="center"/>
              <w:rPr>
                <w:rFonts w:ascii="Arial" w:hAnsi="Arial" w:cs="Arial"/>
                <w:sz w:val="18"/>
                <w:szCs w:val="18"/>
              </w:rPr>
            </w:pPr>
          </w:p>
        </w:tc>
      </w:tr>
      <w:tr w:rsidR="0086528B" w:rsidRPr="00FB3694" w14:paraId="7D5C6278" w14:textId="77777777" w:rsidTr="0031738A">
        <w:trPr>
          <w:trHeight w:val="284"/>
          <w:jc w:val="center"/>
        </w:trPr>
        <w:tc>
          <w:tcPr>
            <w:tcW w:w="538" w:type="dxa"/>
            <w:tcBorders>
              <w:top w:val="nil"/>
              <w:left w:val="nil"/>
              <w:bottom w:val="single" w:sz="4" w:space="0" w:color="auto"/>
              <w:right w:val="nil"/>
            </w:tcBorders>
            <w:shd w:val="clear" w:color="auto" w:fill="FFFFFF"/>
            <w:vAlign w:val="center"/>
          </w:tcPr>
          <w:p w14:paraId="53BE6E43" w14:textId="77777777" w:rsidR="0086528B" w:rsidRPr="00FB3694" w:rsidRDefault="0086528B" w:rsidP="002C4667">
            <w:pPr>
              <w:jc w:val="center"/>
              <w:rPr>
                <w:rFonts w:ascii="Arial" w:hAnsi="Arial" w:cs="Arial"/>
                <w:sz w:val="18"/>
                <w:szCs w:val="18"/>
              </w:rPr>
            </w:pPr>
          </w:p>
        </w:tc>
        <w:tc>
          <w:tcPr>
            <w:tcW w:w="3598" w:type="dxa"/>
            <w:tcBorders>
              <w:top w:val="nil"/>
              <w:left w:val="nil"/>
              <w:bottom w:val="single" w:sz="4" w:space="0" w:color="auto"/>
              <w:right w:val="nil"/>
            </w:tcBorders>
            <w:shd w:val="clear" w:color="auto" w:fill="FFFFFF"/>
            <w:vAlign w:val="center"/>
          </w:tcPr>
          <w:p w14:paraId="4B98D250" w14:textId="77777777" w:rsidR="0086528B" w:rsidRPr="00FB3694" w:rsidRDefault="0086528B" w:rsidP="002C4667">
            <w:pPr>
              <w:rPr>
                <w:rFonts w:ascii="Arial" w:hAnsi="Arial" w:cs="Arial"/>
                <w:sz w:val="18"/>
                <w:szCs w:val="18"/>
              </w:rPr>
            </w:pPr>
            <w:r w:rsidRPr="00FB3694">
              <w:rPr>
                <w:rFonts w:ascii="Arial" w:hAnsi="Arial" w:cs="Arial"/>
                <w:sz w:val="18"/>
                <w:szCs w:val="18"/>
              </w:rPr>
              <w:t>sized regenerative doses</w:t>
            </w:r>
          </w:p>
        </w:tc>
        <w:tc>
          <w:tcPr>
            <w:tcW w:w="1050" w:type="dxa"/>
            <w:tcBorders>
              <w:top w:val="nil"/>
              <w:left w:val="nil"/>
              <w:bottom w:val="single" w:sz="4" w:space="0" w:color="auto"/>
              <w:right w:val="nil"/>
            </w:tcBorders>
            <w:shd w:val="clear" w:color="auto" w:fill="FFFFFF"/>
            <w:noWrap/>
            <w:vAlign w:val="center"/>
          </w:tcPr>
          <w:p w14:paraId="40C915F6" w14:textId="77777777" w:rsidR="0086528B" w:rsidRPr="00FB3694" w:rsidRDefault="0086528B" w:rsidP="002C4667">
            <w:pPr>
              <w:jc w:val="center"/>
              <w:rPr>
                <w:rFonts w:ascii="Arial" w:hAnsi="Arial" w:cs="Arial"/>
                <w:sz w:val="18"/>
                <w:szCs w:val="18"/>
              </w:rPr>
            </w:pPr>
          </w:p>
        </w:tc>
      </w:tr>
    </w:tbl>
    <w:p w14:paraId="65C761F3" w14:textId="77777777" w:rsidR="00FB3694" w:rsidRPr="00CD6E84" w:rsidRDefault="00FB3694" w:rsidP="00FB3694">
      <w:pPr>
        <w:ind w:left="705"/>
        <w:rPr>
          <w:rFonts w:ascii="Arial" w:hAnsi="Arial" w:cs="Arial"/>
          <w:sz w:val="8"/>
          <w:szCs w:val="8"/>
          <w:vertAlign w:val="superscript"/>
        </w:rPr>
      </w:pPr>
    </w:p>
    <w:p w14:paraId="2D059220" w14:textId="77777777" w:rsidR="00FB3694" w:rsidRDefault="00FB3694" w:rsidP="00FB3694">
      <w:pPr>
        <w:ind w:left="540"/>
      </w:pPr>
      <w:r>
        <w:rPr>
          <w:rFonts w:ascii="Arial" w:hAnsi="Arial" w:cs="Arial"/>
          <w:sz w:val="16"/>
          <w:szCs w:val="16"/>
          <w:vertAlign w:val="superscript"/>
        </w:rPr>
        <w:t>a</w:t>
      </w:r>
      <w:r w:rsidR="00A727C5">
        <w:rPr>
          <w:rFonts w:ascii="Arial" w:hAnsi="Arial" w:cs="Arial"/>
          <w:sz w:val="16"/>
          <w:szCs w:val="16"/>
        </w:rPr>
        <w:t xml:space="preserve"> Step 2</w:t>
      </w:r>
      <w:r w:rsidRPr="00322FC9">
        <w:rPr>
          <w:rFonts w:ascii="Arial" w:hAnsi="Arial" w:cs="Arial"/>
          <w:sz w:val="16"/>
          <w:szCs w:val="16"/>
        </w:rPr>
        <w:t xml:space="preserve"> is only included in the single-grain SAR procedure when measuring the</w:t>
      </w:r>
      <w:r>
        <w:rPr>
          <w:rFonts w:ascii="Arial" w:hAnsi="Arial" w:cs="Arial"/>
          <w:sz w:val="16"/>
          <w:szCs w:val="16"/>
        </w:rPr>
        <w:t xml:space="preserve"> OSL IR depletion ratio (Duller</w:t>
      </w:r>
      <w:r w:rsidRPr="00322FC9">
        <w:rPr>
          <w:rFonts w:ascii="Arial" w:hAnsi="Arial" w:cs="Arial"/>
          <w:sz w:val="16"/>
          <w:szCs w:val="16"/>
        </w:rPr>
        <w:t xml:space="preserve"> 2003)</w:t>
      </w:r>
      <w:r>
        <w:rPr>
          <w:rFonts w:ascii="Arial" w:hAnsi="Arial" w:cs="Arial"/>
          <w:sz w:val="16"/>
          <w:szCs w:val="16"/>
        </w:rPr>
        <w:t xml:space="preserve">. </w:t>
      </w:r>
    </w:p>
    <w:p w14:paraId="49C3B037" w14:textId="77777777" w:rsidR="00FB3694" w:rsidRDefault="00FB3694" w:rsidP="00FB3694">
      <w:pPr>
        <w:jc w:val="both"/>
      </w:pPr>
    </w:p>
    <w:p w14:paraId="734BF89B" w14:textId="0E678C82" w:rsidR="00FB3694" w:rsidRDefault="00FB3694" w:rsidP="00FB3694">
      <w:pPr>
        <w:jc w:val="both"/>
      </w:pPr>
      <w:r w:rsidRPr="00ED683C">
        <w:rPr>
          <w:b/>
        </w:rPr>
        <w:t xml:space="preserve">Table </w:t>
      </w:r>
      <w:r>
        <w:rPr>
          <w:b/>
        </w:rPr>
        <w:t>S1</w:t>
      </w:r>
      <w:r>
        <w:t xml:space="preserve"> Single-aliquot regenerative-dose (SAR) procedures used for dose-recovery measurements and D</w:t>
      </w:r>
      <w:r w:rsidRPr="003E4B22">
        <w:rPr>
          <w:vertAlign w:val="subscript"/>
        </w:rPr>
        <w:t>e</w:t>
      </w:r>
      <w:r>
        <w:t xml:space="preserve"> determination. Each of these SAR measurement cycles was r</w:t>
      </w:r>
      <w:r w:rsidR="002C4667">
        <w:t xml:space="preserve">epeated for the natural dose, </w:t>
      </w:r>
      <w:r>
        <w:t xml:space="preserve">5 different sized regenerative doses and a 0 </w:t>
      </w:r>
      <w:proofErr w:type="spellStart"/>
      <w:r>
        <w:t>Gy</w:t>
      </w:r>
      <w:proofErr w:type="spellEnd"/>
      <w:r>
        <w:t xml:space="preserve"> </w:t>
      </w:r>
      <w:proofErr w:type="gramStart"/>
      <w:r>
        <w:t>regenerative-dose</w:t>
      </w:r>
      <w:proofErr w:type="gramEnd"/>
      <w:r>
        <w:t xml:space="preserve"> (to measure OSL signal recuperation). Both the smallest and </w:t>
      </w:r>
      <w:r w:rsidR="007E6406">
        <w:t xml:space="preserve">second </w:t>
      </w:r>
      <w:r>
        <w:t xml:space="preserve">largest non-zero regenerative-dose cycles were repeated at the end of the SAR procedure to assess the suitability of the test-dose sensitivity correction. </w:t>
      </w:r>
      <w:r w:rsidR="0088368B">
        <w:t>T</w:t>
      </w:r>
      <w:r>
        <w:t xml:space="preserve">he smallest regenerative-dose cycle was also repeated a second time with the inclusion of step </w:t>
      </w:r>
      <w:r w:rsidR="002C4667">
        <w:t>2</w:t>
      </w:r>
      <w:r>
        <w:t xml:space="preserve"> to check for the presence of feldspar contaminants using the OSL IR depletion ratio of Duller (2003). </w:t>
      </w:r>
      <w:r w:rsidR="002C4667" w:rsidRPr="002C4667">
        <w:t>L</w:t>
      </w:r>
      <w:r w:rsidR="002C4667" w:rsidRPr="002C4667">
        <w:rPr>
          <w:vertAlign w:val="subscript"/>
        </w:rPr>
        <w:t>x</w:t>
      </w:r>
      <w:r w:rsidR="002C4667" w:rsidRPr="002C4667">
        <w:t xml:space="preserve"> = regenerative dose signal response; L</w:t>
      </w:r>
      <w:r w:rsidR="002C4667" w:rsidRPr="002C4667">
        <w:rPr>
          <w:vertAlign w:val="subscript"/>
        </w:rPr>
        <w:t>n</w:t>
      </w:r>
      <w:r w:rsidR="002C4667" w:rsidRPr="002C4667">
        <w:t xml:space="preserve"> = natural dose signal response; T</w:t>
      </w:r>
      <w:r w:rsidR="002C4667" w:rsidRPr="002C4667">
        <w:rPr>
          <w:vertAlign w:val="subscript"/>
        </w:rPr>
        <w:t>x</w:t>
      </w:r>
      <w:r w:rsidR="002C4667" w:rsidRPr="002C4667">
        <w:t xml:space="preserve"> = test dose signal response for a laboratory dose cycle T</w:t>
      </w:r>
      <w:r w:rsidR="002C4667" w:rsidRPr="002C4667">
        <w:rPr>
          <w:vertAlign w:val="subscript"/>
        </w:rPr>
        <w:t>n</w:t>
      </w:r>
      <w:r w:rsidR="002C4667" w:rsidRPr="002C4667">
        <w:t xml:space="preserve"> = test dose signal response for the natural dose cycle.</w:t>
      </w:r>
    </w:p>
    <w:p w14:paraId="448D4F37" w14:textId="58D2F68A" w:rsidR="0004130F" w:rsidRDefault="0004130F" w:rsidP="00A727C5">
      <w:pPr>
        <w:jc w:val="center"/>
      </w:pPr>
    </w:p>
    <w:p w14:paraId="3048F482" w14:textId="74DE4915" w:rsidR="007E554C" w:rsidRDefault="007E554C" w:rsidP="00A727C5">
      <w:pPr>
        <w:jc w:val="center"/>
      </w:pPr>
    </w:p>
    <w:p w14:paraId="12FE37AD" w14:textId="77777777" w:rsidR="007E554C" w:rsidRDefault="007E554C" w:rsidP="007E554C">
      <w:pPr>
        <w:sectPr w:rsidR="007E554C" w:rsidSect="00FB3694">
          <w:pgSz w:w="11906" w:h="16838"/>
          <w:pgMar w:top="567" w:right="567" w:bottom="567" w:left="567" w:header="709" w:footer="709" w:gutter="0"/>
          <w:cols w:space="708"/>
          <w:docGrid w:linePitch="360"/>
        </w:sectPr>
      </w:pPr>
    </w:p>
    <w:tbl>
      <w:tblPr>
        <w:tblpPr w:leftFromText="180" w:rightFromText="180" w:vertAnchor="page" w:horzAnchor="margin" w:tblpXSpec="center" w:tblpY="1066"/>
        <w:tblW w:w="12200" w:type="dxa"/>
        <w:tblLayout w:type="fixed"/>
        <w:tblCellMar>
          <w:left w:w="0" w:type="dxa"/>
          <w:right w:w="0" w:type="dxa"/>
        </w:tblCellMar>
        <w:tblLook w:val="0000" w:firstRow="0" w:lastRow="0" w:firstColumn="0" w:lastColumn="0" w:noHBand="0" w:noVBand="0"/>
      </w:tblPr>
      <w:tblGrid>
        <w:gridCol w:w="5474"/>
        <w:gridCol w:w="1121"/>
        <w:gridCol w:w="1121"/>
        <w:gridCol w:w="1121"/>
        <w:gridCol w:w="1121"/>
        <w:gridCol w:w="1121"/>
        <w:gridCol w:w="1121"/>
      </w:tblGrid>
      <w:tr w:rsidR="007E554C" w:rsidRPr="00A727C5" w14:paraId="50CCE809" w14:textId="77777777" w:rsidTr="0086528B">
        <w:trPr>
          <w:trHeight w:val="351"/>
        </w:trPr>
        <w:tc>
          <w:tcPr>
            <w:tcW w:w="5474" w:type="dxa"/>
            <w:tcBorders>
              <w:top w:val="single" w:sz="4" w:space="0" w:color="auto"/>
              <w:left w:val="nil"/>
            </w:tcBorders>
            <w:shd w:val="clear" w:color="auto" w:fill="auto"/>
            <w:noWrap/>
            <w:vAlign w:val="center"/>
          </w:tcPr>
          <w:p w14:paraId="390099AF" w14:textId="77777777" w:rsidR="007E554C" w:rsidRPr="00A727C5" w:rsidRDefault="007E554C" w:rsidP="0086528B">
            <w:pPr>
              <w:rPr>
                <w:rFonts w:ascii="Arial" w:hAnsi="Arial" w:cs="Arial"/>
                <w:sz w:val="18"/>
                <w:szCs w:val="18"/>
              </w:rPr>
            </w:pPr>
            <w:r w:rsidRPr="00A727C5">
              <w:rPr>
                <w:rFonts w:ascii="Arial" w:hAnsi="Arial" w:cs="Arial"/>
                <w:b/>
                <w:sz w:val="18"/>
                <w:szCs w:val="18"/>
              </w:rPr>
              <w:lastRenderedPageBreak/>
              <w:t>Sample name</w:t>
            </w:r>
            <w:r w:rsidRPr="00A727C5">
              <w:rPr>
                <w:rFonts w:ascii="Arial" w:hAnsi="Arial" w:cs="Arial"/>
                <w:sz w:val="18"/>
                <w:szCs w:val="18"/>
              </w:rPr>
              <w:t> </w:t>
            </w:r>
          </w:p>
        </w:tc>
        <w:tc>
          <w:tcPr>
            <w:tcW w:w="1121" w:type="dxa"/>
            <w:tcBorders>
              <w:top w:val="single" w:sz="4" w:space="0" w:color="auto"/>
            </w:tcBorders>
            <w:vAlign w:val="center"/>
          </w:tcPr>
          <w:p w14:paraId="6714AEEE" w14:textId="77777777" w:rsidR="007E554C" w:rsidRPr="00A727C5" w:rsidRDefault="007E554C" w:rsidP="0086528B">
            <w:pPr>
              <w:jc w:val="center"/>
              <w:rPr>
                <w:rFonts w:ascii="Arial" w:hAnsi="Arial" w:cs="Arial"/>
                <w:b/>
                <w:bCs/>
                <w:sz w:val="18"/>
                <w:szCs w:val="18"/>
              </w:rPr>
            </w:pPr>
            <w:r>
              <w:rPr>
                <w:rFonts w:ascii="Arial" w:hAnsi="Arial" w:cs="Arial"/>
                <w:b/>
                <w:bCs/>
                <w:sz w:val="18"/>
                <w:szCs w:val="18"/>
              </w:rPr>
              <w:t>LM17188-01</w:t>
            </w:r>
          </w:p>
        </w:tc>
        <w:tc>
          <w:tcPr>
            <w:tcW w:w="1121" w:type="dxa"/>
            <w:tcBorders>
              <w:top w:val="single" w:sz="4" w:space="0" w:color="auto"/>
              <w:bottom w:val="single" w:sz="4" w:space="0" w:color="000000"/>
            </w:tcBorders>
            <w:shd w:val="clear" w:color="auto" w:fill="auto"/>
            <w:noWrap/>
            <w:vAlign w:val="center"/>
          </w:tcPr>
          <w:p w14:paraId="1F87D0EE" w14:textId="77777777" w:rsidR="007E554C" w:rsidRPr="00A727C5" w:rsidRDefault="007E554C" w:rsidP="0086528B">
            <w:pPr>
              <w:jc w:val="center"/>
              <w:rPr>
                <w:rFonts w:ascii="Arial" w:hAnsi="Arial" w:cs="Arial"/>
                <w:b/>
                <w:bCs/>
                <w:sz w:val="18"/>
                <w:szCs w:val="18"/>
              </w:rPr>
            </w:pPr>
            <w:r>
              <w:rPr>
                <w:rFonts w:ascii="Arial" w:hAnsi="Arial" w:cs="Arial"/>
                <w:b/>
                <w:bCs/>
                <w:sz w:val="18"/>
                <w:szCs w:val="18"/>
              </w:rPr>
              <w:t>LM17188-02</w:t>
            </w:r>
          </w:p>
        </w:tc>
        <w:tc>
          <w:tcPr>
            <w:tcW w:w="1121" w:type="dxa"/>
            <w:tcBorders>
              <w:top w:val="single" w:sz="4" w:space="0" w:color="auto"/>
              <w:bottom w:val="single" w:sz="4" w:space="0" w:color="000000"/>
            </w:tcBorders>
            <w:vAlign w:val="center"/>
          </w:tcPr>
          <w:p w14:paraId="38670697" w14:textId="77777777" w:rsidR="007E554C" w:rsidRPr="00A727C5" w:rsidRDefault="007E554C" w:rsidP="0086528B">
            <w:pPr>
              <w:jc w:val="center"/>
              <w:rPr>
                <w:rFonts w:ascii="Arial" w:hAnsi="Arial" w:cs="Arial"/>
                <w:b/>
                <w:bCs/>
                <w:sz w:val="18"/>
                <w:szCs w:val="18"/>
              </w:rPr>
            </w:pPr>
            <w:r w:rsidRPr="00A51C27">
              <w:rPr>
                <w:rFonts w:ascii="Arial" w:hAnsi="Arial" w:cs="Arial"/>
                <w:b/>
                <w:bCs/>
                <w:sz w:val="18"/>
                <w:szCs w:val="18"/>
              </w:rPr>
              <w:t>LM17188-0</w:t>
            </w:r>
            <w:r>
              <w:rPr>
                <w:rFonts w:ascii="Arial" w:hAnsi="Arial" w:cs="Arial"/>
                <w:b/>
                <w:bCs/>
                <w:sz w:val="18"/>
                <w:szCs w:val="18"/>
              </w:rPr>
              <w:t>3</w:t>
            </w:r>
          </w:p>
        </w:tc>
        <w:tc>
          <w:tcPr>
            <w:tcW w:w="1121" w:type="dxa"/>
            <w:tcBorders>
              <w:top w:val="single" w:sz="4" w:space="0" w:color="auto"/>
              <w:bottom w:val="single" w:sz="4" w:space="0" w:color="000000"/>
            </w:tcBorders>
            <w:vAlign w:val="center"/>
          </w:tcPr>
          <w:p w14:paraId="6374974F" w14:textId="77777777" w:rsidR="007E554C" w:rsidRDefault="007E554C" w:rsidP="0086528B">
            <w:pPr>
              <w:jc w:val="center"/>
              <w:rPr>
                <w:rFonts w:ascii="Arial" w:hAnsi="Arial" w:cs="Arial"/>
                <w:b/>
                <w:bCs/>
                <w:sz w:val="18"/>
                <w:szCs w:val="18"/>
              </w:rPr>
            </w:pPr>
            <w:r w:rsidRPr="00A51C27">
              <w:rPr>
                <w:rFonts w:ascii="Arial" w:hAnsi="Arial" w:cs="Arial"/>
                <w:b/>
                <w:bCs/>
                <w:sz w:val="18"/>
                <w:szCs w:val="18"/>
              </w:rPr>
              <w:t>LM17188-0</w:t>
            </w:r>
            <w:r>
              <w:rPr>
                <w:rFonts w:ascii="Arial" w:hAnsi="Arial" w:cs="Arial"/>
                <w:b/>
                <w:bCs/>
                <w:sz w:val="18"/>
                <w:szCs w:val="18"/>
              </w:rPr>
              <w:t>3</w:t>
            </w:r>
          </w:p>
        </w:tc>
        <w:tc>
          <w:tcPr>
            <w:tcW w:w="1121" w:type="dxa"/>
            <w:tcBorders>
              <w:top w:val="single" w:sz="4" w:space="0" w:color="auto"/>
              <w:bottom w:val="single" w:sz="4" w:space="0" w:color="000000"/>
            </w:tcBorders>
            <w:vAlign w:val="center"/>
          </w:tcPr>
          <w:p w14:paraId="0ADDA458" w14:textId="77777777" w:rsidR="007E554C" w:rsidRDefault="007E554C" w:rsidP="0086528B">
            <w:pPr>
              <w:jc w:val="center"/>
              <w:rPr>
                <w:rFonts w:ascii="Arial" w:hAnsi="Arial" w:cs="Arial"/>
                <w:b/>
                <w:bCs/>
                <w:sz w:val="18"/>
                <w:szCs w:val="18"/>
              </w:rPr>
            </w:pPr>
            <w:r w:rsidRPr="00A51C27">
              <w:rPr>
                <w:rFonts w:ascii="Arial" w:hAnsi="Arial" w:cs="Arial"/>
                <w:b/>
                <w:bCs/>
                <w:sz w:val="18"/>
                <w:szCs w:val="18"/>
              </w:rPr>
              <w:t>LM17188-0</w:t>
            </w:r>
            <w:r>
              <w:rPr>
                <w:rFonts w:ascii="Arial" w:hAnsi="Arial" w:cs="Arial"/>
                <w:b/>
                <w:bCs/>
                <w:sz w:val="18"/>
                <w:szCs w:val="18"/>
              </w:rPr>
              <w:t>4</w:t>
            </w:r>
          </w:p>
        </w:tc>
        <w:tc>
          <w:tcPr>
            <w:tcW w:w="1121" w:type="dxa"/>
            <w:tcBorders>
              <w:top w:val="single" w:sz="4" w:space="0" w:color="auto"/>
              <w:bottom w:val="single" w:sz="4" w:space="0" w:color="000000"/>
            </w:tcBorders>
            <w:vAlign w:val="center"/>
          </w:tcPr>
          <w:p w14:paraId="73F673FF" w14:textId="77777777" w:rsidR="007E554C" w:rsidRDefault="007E554C" w:rsidP="0086528B">
            <w:pPr>
              <w:jc w:val="center"/>
              <w:rPr>
                <w:rFonts w:ascii="Arial" w:hAnsi="Arial" w:cs="Arial"/>
                <w:b/>
                <w:bCs/>
                <w:sz w:val="18"/>
                <w:szCs w:val="18"/>
              </w:rPr>
            </w:pPr>
            <w:r w:rsidRPr="00A51C27">
              <w:rPr>
                <w:rFonts w:ascii="Arial" w:hAnsi="Arial" w:cs="Arial"/>
                <w:b/>
                <w:bCs/>
                <w:sz w:val="18"/>
                <w:szCs w:val="18"/>
              </w:rPr>
              <w:t>LM17188-0</w:t>
            </w:r>
            <w:r>
              <w:rPr>
                <w:rFonts w:ascii="Arial" w:hAnsi="Arial" w:cs="Arial"/>
                <w:b/>
                <w:bCs/>
                <w:sz w:val="18"/>
                <w:szCs w:val="18"/>
              </w:rPr>
              <w:t>5</w:t>
            </w:r>
          </w:p>
        </w:tc>
      </w:tr>
      <w:tr w:rsidR="007E554C" w:rsidRPr="00A727C5" w14:paraId="3E918050" w14:textId="77777777" w:rsidTr="0086528B">
        <w:trPr>
          <w:trHeight w:val="351"/>
        </w:trPr>
        <w:tc>
          <w:tcPr>
            <w:tcW w:w="5474" w:type="dxa"/>
            <w:tcBorders>
              <w:top w:val="single" w:sz="4" w:space="0" w:color="auto"/>
              <w:bottom w:val="single" w:sz="4" w:space="0" w:color="auto"/>
            </w:tcBorders>
            <w:shd w:val="clear" w:color="auto" w:fill="auto"/>
            <w:noWrap/>
            <w:vAlign w:val="center"/>
          </w:tcPr>
          <w:p w14:paraId="5FEE7869" w14:textId="77777777" w:rsidR="007E554C" w:rsidRPr="00A727C5" w:rsidRDefault="007E554C" w:rsidP="0086528B">
            <w:pPr>
              <w:rPr>
                <w:rFonts w:ascii="Arial" w:hAnsi="Arial" w:cs="Arial"/>
                <w:b/>
                <w:bCs/>
                <w:sz w:val="18"/>
                <w:szCs w:val="18"/>
              </w:rPr>
            </w:pPr>
            <w:r w:rsidRPr="00A727C5">
              <w:rPr>
                <w:rFonts w:ascii="Arial" w:hAnsi="Arial" w:cs="Arial"/>
                <w:b/>
                <w:bCs/>
                <w:iCs/>
                <w:sz w:val="18"/>
                <w:szCs w:val="18"/>
              </w:rPr>
              <w:t>SAR measurement type</w:t>
            </w:r>
          </w:p>
        </w:tc>
        <w:tc>
          <w:tcPr>
            <w:tcW w:w="1121" w:type="dxa"/>
            <w:tcBorders>
              <w:top w:val="single" w:sz="4" w:space="0" w:color="auto"/>
              <w:bottom w:val="single" w:sz="4" w:space="0" w:color="auto"/>
            </w:tcBorders>
            <w:vAlign w:val="center"/>
          </w:tcPr>
          <w:p w14:paraId="5A8E3780" w14:textId="77777777" w:rsidR="007E554C" w:rsidRPr="00A727C5" w:rsidRDefault="007E554C" w:rsidP="0086528B">
            <w:pPr>
              <w:jc w:val="center"/>
              <w:rPr>
                <w:rFonts w:ascii="Arial" w:hAnsi="Arial" w:cs="Arial"/>
                <w:sz w:val="18"/>
                <w:szCs w:val="18"/>
              </w:rPr>
            </w:pPr>
            <w:r w:rsidRPr="00A727C5">
              <w:rPr>
                <w:rFonts w:ascii="Arial" w:hAnsi="Arial" w:cs="Arial"/>
                <w:sz w:val="18"/>
                <w:szCs w:val="18"/>
              </w:rPr>
              <w:t>D</w:t>
            </w:r>
            <w:r w:rsidRPr="00A727C5">
              <w:rPr>
                <w:rFonts w:ascii="Arial" w:hAnsi="Arial" w:cs="Arial"/>
                <w:sz w:val="18"/>
                <w:szCs w:val="18"/>
                <w:vertAlign w:val="subscript"/>
              </w:rPr>
              <w:t>e</w:t>
            </w:r>
          </w:p>
        </w:tc>
        <w:tc>
          <w:tcPr>
            <w:tcW w:w="1121" w:type="dxa"/>
            <w:tcBorders>
              <w:top w:val="single" w:sz="4" w:space="0" w:color="auto"/>
              <w:bottom w:val="single" w:sz="4" w:space="0" w:color="auto"/>
            </w:tcBorders>
            <w:shd w:val="clear" w:color="auto" w:fill="auto"/>
            <w:noWrap/>
            <w:vAlign w:val="center"/>
          </w:tcPr>
          <w:p w14:paraId="1CF3FDCC" w14:textId="77777777" w:rsidR="007E554C" w:rsidRPr="00A727C5" w:rsidRDefault="007E554C" w:rsidP="0086528B">
            <w:pPr>
              <w:jc w:val="center"/>
              <w:rPr>
                <w:rFonts w:ascii="Arial" w:hAnsi="Arial" w:cs="Arial"/>
                <w:sz w:val="18"/>
                <w:szCs w:val="18"/>
              </w:rPr>
            </w:pPr>
            <w:r w:rsidRPr="00A727C5">
              <w:rPr>
                <w:rFonts w:ascii="Arial" w:hAnsi="Arial" w:cs="Arial"/>
                <w:sz w:val="18"/>
                <w:szCs w:val="18"/>
              </w:rPr>
              <w:t>D</w:t>
            </w:r>
            <w:r w:rsidRPr="00A727C5">
              <w:rPr>
                <w:rFonts w:ascii="Arial" w:hAnsi="Arial" w:cs="Arial"/>
                <w:sz w:val="18"/>
                <w:szCs w:val="18"/>
                <w:vertAlign w:val="subscript"/>
              </w:rPr>
              <w:t>e</w:t>
            </w:r>
          </w:p>
        </w:tc>
        <w:tc>
          <w:tcPr>
            <w:tcW w:w="1121" w:type="dxa"/>
            <w:tcBorders>
              <w:top w:val="single" w:sz="4" w:space="0" w:color="auto"/>
              <w:bottom w:val="single" w:sz="4" w:space="0" w:color="auto"/>
            </w:tcBorders>
            <w:vAlign w:val="center"/>
          </w:tcPr>
          <w:p w14:paraId="575C3BD9" w14:textId="77777777" w:rsidR="007E554C" w:rsidRPr="00A727C5" w:rsidRDefault="007E554C" w:rsidP="0086528B">
            <w:pPr>
              <w:jc w:val="center"/>
              <w:rPr>
                <w:rFonts w:ascii="Arial" w:hAnsi="Arial" w:cs="Arial"/>
                <w:sz w:val="18"/>
                <w:szCs w:val="18"/>
              </w:rPr>
            </w:pPr>
            <w:r w:rsidRPr="00A727C5">
              <w:rPr>
                <w:rFonts w:ascii="Arial" w:hAnsi="Arial" w:cs="Arial"/>
                <w:sz w:val="18"/>
                <w:szCs w:val="18"/>
              </w:rPr>
              <w:t>D</w:t>
            </w:r>
            <w:r w:rsidRPr="00A727C5">
              <w:rPr>
                <w:rFonts w:ascii="Arial" w:hAnsi="Arial" w:cs="Arial"/>
                <w:sz w:val="18"/>
                <w:szCs w:val="18"/>
                <w:vertAlign w:val="subscript"/>
              </w:rPr>
              <w:t>e</w:t>
            </w:r>
          </w:p>
        </w:tc>
        <w:tc>
          <w:tcPr>
            <w:tcW w:w="1121" w:type="dxa"/>
            <w:tcBorders>
              <w:top w:val="single" w:sz="4" w:space="0" w:color="auto"/>
              <w:bottom w:val="single" w:sz="4" w:space="0" w:color="auto"/>
            </w:tcBorders>
            <w:vAlign w:val="center"/>
          </w:tcPr>
          <w:p w14:paraId="0870CB47" w14:textId="77777777" w:rsidR="007E554C" w:rsidRDefault="007E554C" w:rsidP="0086528B">
            <w:pPr>
              <w:jc w:val="center"/>
              <w:rPr>
                <w:rFonts w:ascii="Arial" w:hAnsi="Arial" w:cs="Arial"/>
                <w:sz w:val="18"/>
                <w:szCs w:val="18"/>
              </w:rPr>
            </w:pPr>
            <w:r w:rsidRPr="00A727C5">
              <w:rPr>
                <w:rFonts w:ascii="Arial" w:hAnsi="Arial" w:cs="Arial"/>
                <w:sz w:val="18"/>
                <w:szCs w:val="18"/>
              </w:rPr>
              <w:t>Dose-</w:t>
            </w:r>
          </w:p>
          <w:p w14:paraId="6A33154B" w14:textId="77777777" w:rsidR="007E554C" w:rsidRPr="00A727C5" w:rsidRDefault="007E554C" w:rsidP="0086528B">
            <w:pPr>
              <w:jc w:val="center"/>
              <w:rPr>
                <w:rFonts w:ascii="Arial" w:hAnsi="Arial" w:cs="Arial"/>
                <w:sz w:val="18"/>
                <w:szCs w:val="18"/>
              </w:rPr>
            </w:pPr>
            <w:r w:rsidRPr="00A727C5">
              <w:rPr>
                <w:rFonts w:ascii="Arial" w:hAnsi="Arial" w:cs="Arial"/>
                <w:sz w:val="18"/>
                <w:szCs w:val="18"/>
              </w:rPr>
              <w:t>recovery</w:t>
            </w:r>
          </w:p>
        </w:tc>
        <w:tc>
          <w:tcPr>
            <w:tcW w:w="1121" w:type="dxa"/>
            <w:tcBorders>
              <w:top w:val="single" w:sz="4" w:space="0" w:color="auto"/>
              <w:bottom w:val="single" w:sz="4" w:space="0" w:color="auto"/>
            </w:tcBorders>
            <w:vAlign w:val="center"/>
          </w:tcPr>
          <w:p w14:paraId="44C4C86B" w14:textId="77777777" w:rsidR="007E554C" w:rsidRPr="00A727C5" w:rsidRDefault="007E554C" w:rsidP="0086528B">
            <w:pPr>
              <w:jc w:val="center"/>
              <w:rPr>
                <w:rFonts w:ascii="Arial" w:hAnsi="Arial" w:cs="Arial"/>
                <w:sz w:val="18"/>
                <w:szCs w:val="18"/>
              </w:rPr>
            </w:pPr>
            <w:r w:rsidRPr="00A727C5">
              <w:rPr>
                <w:rFonts w:ascii="Arial" w:hAnsi="Arial" w:cs="Arial"/>
                <w:sz w:val="18"/>
                <w:szCs w:val="18"/>
              </w:rPr>
              <w:t>D</w:t>
            </w:r>
            <w:r w:rsidRPr="00A727C5">
              <w:rPr>
                <w:rFonts w:ascii="Arial" w:hAnsi="Arial" w:cs="Arial"/>
                <w:sz w:val="18"/>
                <w:szCs w:val="18"/>
                <w:vertAlign w:val="subscript"/>
              </w:rPr>
              <w:t>e</w:t>
            </w:r>
          </w:p>
        </w:tc>
        <w:tc>
          <w:tcPr>
            <w:tcW w:w="1121" w:type="dxa"/>
            <w:tcBorders>
              <w:top w:val="single" w:sz="4" w:space="0" w:color="auto"/>
              <w:bottom w:val="single" w:sz="4" w:space="0" w:color="auto"/>
            </w:tcBorders>
            <w:vAlign w:val="center"/>
          </w:tcPr>
          <w:p w14:paraId="4C499978" w14:textId="77777777" w:rsidR="007E554C" w:rsidRPr="00A727C5" w:rsidRDefault="007E554C" w:rsidP="0086528B">
            <w:pPr>
              <w:jc w:val="center"/>
              <w:rPr>
                <w:rFonts w:ascii="Arial" w:hAnsi="Arial" w:cs="Arial"/>
                <w:sz w:val="18"/>
                <w:szCs w:val="18"/>
              </w:rPr>
            </w:pPr>
            <w:r w:rsidRPr="00A727C5">
              <w:rPr>
                <w:rFonts w:ascii="Arial" w:hAnsi="Arial" w:cs="Arial"/>
                <w:sz w:val="18"/>
                <w:szCs w:val="18"/>
              </w:rPr>
              <w:t>D</w:t>
            </w:r>
            <w:r w:rsidRPr="00A727C5">
              <w:rPr>
                <w:rFonts w:ascii="Arial" w:hAnsi="Arial" w:cs="Arial"/>
                <w:sz w:val="18"/>
                <w:szCs w:val="18"/>
                <w:vertAlign w:val="subscript"/>
              </w:rPr>
              <w:t>e</w:t>
            </w:r>
          </w:p>
        </w:tc>
      </w:tr>
      <w:tr w:rsidR="007E554C" w:rsidRPr="00A727C5" w14:paraId="7D3FBC1A" w14:textId="77777777" w:rsidTr="0086528B">
        <w:trPr>
          <w:trHeight w:val="351"/>
        </w:trPr>
        <w:tc>
          <w:tcPr>
            <w:tcW w:w="5474" w:type="dxa"/>
            <w:tcBorders>
              <w:top w:val="single" w:sz="4" w:space="0" w:color="auto"/>
              <w:bottom w:val="single" w:sz="4" w:space="0" w:color="auto"/>
            </w:tcBorders>
            <w:shd w:val="clear" w:color="auto" w:fill="auto"/>
            <w:noWrap/>
            <w:vAlign w:val="center"/>
          </w:tcPr>
          <w:p w14:paraId="6EF4503B" w14:textId="77777777" w:rsidR="007E554C" w:rsidRPr="00A727C5" w:rsidRDefault="007E554C" w:rsidP="0086528B">
            <w:pPr>
              <w:rPr>
                <w:rFonts w:ascii="Arial" w:hAnsi="Arial" w:cs="Arial"/>
                <w:b/>
                <w:bCs/>
                <w:sz w:val="18"/>
                <w:szCs w:val="18"/>
              </w:rPr>
            </w:pPr>
            <w:r w:rsidRPr="00A727C5">
              <w:rPr>
                <w:rFonts w:ascii="Arial" w:hAnsi="Arial" w:cs="Arial"/>
                <w:b/>
                <w:bCs/>
                <w:sz w:val="18"/>
                <w:szCs w:val="18"/>
              </w:rPr>
              <w:t>Total measured grains (</w:t>
            </w:r>
            <w:r w:rsidRPr="00A727C5">
              <w:rPr>
                <w:rFonts w:ascii="Arial" w:hAnsi="Arial" w:cs="Arial"/>
                <w:b/>
                <w:bCs/>
                <w:i/>
                <w:sz w:val="18"/>
                <w:szCs w:val="18"/>
              </w:rPr>
              <w:t>n</w:t>
            </w:r>
            <w:r w:rsidRPr="00A727C5">
              <w:rPr>
                <w:rFonts w:ascii="Arial" w:hAnsi="Arial" w:cs="Arial"/>
                <w:b/>
                <w:bCs/>
                <w:sz w:val="18"/>
                <w:szCs w:val="18"/>
              </w:rPr>
              <w:t>)</w:t>
            </w:r>
          </w:p>
        </w:tc>
        <w:tc>
          <w:tcPr>
            <w:tcW w:w="1121" w:type="dxa"/>
            <w:tcBorders>
              <w:top w:val="single" w:sz="4" w:space="0" w:color="auto"/>
              <w:bottom w:val="single" w:sz="4" w:space="0" w:color="auto"/>
            </w:tcBorders>
            <w:vAlign w:val="center"/>
          </w:tcPr>
          <w:p w14:paraId="2DB6D91A" w14:textId="0C9633AB" w:rsidR="007E554C" w:rsidRPr="00A727C5" w:rsidRDefault="008A7C5A" w:rsidP="0086528B">
            <w:pPr>
              <w:jc w:val="center"/>
              <w:rPr>
                <w:rFonts w:ascii="Arial" w:hAnsi="Arial" w:cs="Arial"/>
                <w:sz w:val="18"/>
                <w:szCs w:val="18"/>
              </w:rPr>
            </w:pPr>
            <w:r>
              <w:rPr>
                <w:rFonts w:ascii="Arial" w:hAnsi="Arial" w:cs="Arial"/>
                <w:sz w:val="18"/>
                <w:szCs w:val="18"/>
              </w:rPr>
              <w:t>2300</w:t>
            </w:r>
          </w:p>
        </w:tc>
        <w:tc>
          <w:tcPr>
            <w:tcW w:w="1121" w:type="dxa"/>
            <w:tcBorders>
              <w:top w:val="single" w:sz="4" w:space="0" w:color="auto"/>
              <w:bottom w:val="single" w:sz="4" w:space="0" w:color="auto"/>
            </w:tcBorders>
            <w:shd w:val="clear" w:color="auto" w:fill="auto"/>
            <w:noWrap/>
            <w:vAlign w:val="center"/>
          </w:tcPr>
          <w:p w14:paraId="5AB3830D" w14:textId="56D95201" w:rsidR="007E554C" w:rsidRPr="00A727C5" w:rsidRDefault="008A7C5A" w:rsidP="0086528B">
            <w:pPr>
              <w:jc w:val="center"/>
              <w:rPr>
                <w:rFonts w:ascii="Arial" w:hAnsi="Arial" w:cs="Arial"/>
                <w:sz w:val="18"/>
                <w:szCs w:val="18"/>
              </w:rPr>
            </w:pPr>
            <w:r>
              <w:rPr>
                <w:rFonts w:ascii="Arial" w:hAnsi="Arial" w:cs="Arial"/>
                <w:sz w:val="18"/>
                <w:szCs w:val="18"/>
              </w:rPr>
              <w:t>2700</w:t>
            </w:r>
          </w:p>
        </w:tc>
        <w:tc>
          <w:tcPr>
            <w:tcW w:w="1121" w:type="dxa"/>
            <w:tcBorders>
              <w:top w:val="single" w:sz="4" w:space="0" w:color="auto"/>
              <w:bottom w:val="single" w:sz="4" w:space="0" w:color="auto"/>
            </w:tcBorders>
            <w:vAlign w:val="center"/>
          </w:tcPr>
          <w:p w14:paraId="33B763F0" w14:textId="1196ADD3" w:rsidR="007E554C" w:rsidRPr="00A727C5" w:rsidRDefault="008A7C5A" w:rsidP="0086528B">
            <w:pPr>
              <w:jc w:val="center"/>
              <w:rPr>
                <w:rFonts w:ascii="Arial" w:hAnsi="Arial" w:cs="Arial"/>
                <w:sz w:val="18"/>
                <w:szCs w:val="18"/>
              </w:rPr>
            </w:pPr>
            <w:r>
              <w:rPr>
                <w:rFonts w:ascii="Arial" w:hAnsi="Arial" w:cs="Arial"/>
                <w:sz w:val="18"/>
                <w:szCs w:val="18"/>
              </w:rPr>
              <w:t>3600</w:t>
            </w:r>
          </w:p>
        </w:tc>
        <w:tc>
          <w:tcPr>
            <w:tcW w:w="1121" w:type="dxa"/>
            <w:tcBorders>
              <w:top w:val="single" w:sz="4" w:space="0" w:color="auto"/>
              <w:bottom w:val="single" w:sz="4" w:space="0" w:color="auto"/>
            </w:tcBorders>
            <w:vAlign w:val="center"/>
          </w:tcPr>
          <w:p w14:paraId="1D81BC57" w14:textId="6C9A405E" w:rsidR="007E554C" w:rsidRDefault="00F104E7" w:rsidP="0086528B">
            <w:pPr>
              <w:jc w:val="center"/>
              <w:rPr>
                <w:rFonts w:ascii="Arial" w:hAnsi="Arial" w:cs="Arial"/>
                <w:sz w:val="18"/>
                <w:szCs w:val="18"/>
              </w:rPr>
            </w:pPr>
            <w:r>
              <w:rPr>
                <w:rFonts w:ascii="Arial" w:hAnsi="Arial" w:cs="Arial"/>
                <w:sz w:val="18"/>
                <w:szCs w:val="18"/>
              </w:rPr>
              <w:t>1100</w:t>
            </w:r>
          </w:p>
        </w:tc>
        <w:tc>
          <w:tcPr>
            <w:tcW w:w="1121" w:type="dxa"/>
            <w:tcBorders>
              <w:top w:val="single" w:sz="4" w:space="0" w:color="auto"/>
              <w:bottom w:val="single" w:sz="4" w:space="0" w:color="auto"/>
            </w:tcBorders>
            <w:vAlign w:val="center"/>
          </w:tcPr>
          <w:p w14:paraId="15231A65" w14:textId="30142451" w:rsidR="007E554C" w:rsidRDefault="00140609" w:rsidP="0086528B">
            <w:pPr>
              <w:jc w:val="center"/>
              <w:rPr>
                <w:rFonts w:ascii="Arial" w:hAnsi="Arial" w:cs="Arial"/>
                <w:sz w:val="18"/>
                <w:szCs w:val="18"/>
              </w:rPr>
            </w:pPr>
            <w:r>
              <w:rPr>
                <w:rFonts w:ascii="Arial" w:hAnsi="Arial" w:cs="Arial"/>
                <w:sz w:val="18"/>
                <w:szCs w:val="18"/>
              </w:rPr>
              <w:t>2200</w:t>
            </w:r>
          </w:p>
        </w:tc>
        <w:tc>
          <w:tcPr>
            <w:tcW w:w="1121" w:type="dxa"/>
            <w:tcBorders>
              <w:top w:val="single" w:sz="4" w:space="0" w:color="auto"/>
              <w:bottom w:val="single" w:sz="4" w:space="0" w:color="auto"/>
            </w:tcBorders>
            <w:vAlign w:val="center"/>
          </w:tcPr>
          <w:p w14:paraId="7EB83E6C" w14:textId="502B2ECC" w:rsidR="007E554C" w:rsidRDefault="00140609" w:rsidP="0086528B">
            <w:pPr>
              <w:jc w:val="center"/>
              <w:rPr>
                <w:rFonts w:ascii="Arial" w:hAnsi="Arial" w:cs="Arial"/>
                <w:sz w:val="18"/>
                <w:szCs w:val="18"/>
              </w:rPr>
            </w:pPr>
            <w:r>
              <w:rPr>
                <w:rFonts w:ascii="Arial" w:hAnsi="Arial" w:cs="Arial"/>
                <w:sz w:val="18"/>
                <w:szCs w:val="18"/>
              </w:rPr>
              <w:t>2300</w:t>
            </w:r>
          </w:p>
        </w:tc>
      </w:tr>
      <w:tr w:rsidR="007E554C" w:rsidRPr="00A727C5" w14:paraId="0ECF544E" w14:textId="77777777" w:rsidTr="0086528B">
        <w:trPr>
          <w:trHeight w:val="351"/>
        </w:trPr>
        <w:tc>
          <w:tcPr>
            <w:tcW w:w="5474" w:type="dxa"/>
            <w:tcBorders>
              <w:top w:val="single" w:sz="4" w:space="0" w:color="auto"/>
              <w:bottom w:val="nil"/>
            </w:tcBorders>
            <w:shd w:val="clear" w:color="auto" w:fill="auto"/>
            <w:noWrap/>
            <w:vAlign w:val="center"/>
          </w:tcPr>
          <w:p w14:paraId="11202FDA" w14:textId="77777777" w:rsidR="007E554C" w:rsidRPr="00A727C5" w:rsidRDefault="007E554C" w:rsidP="0086528B">
            <w:pPr>
              <w:rPr>
                <w:rFonts w:ascii="Arial" w:hAnsi="Arial" w:cs="Arial"/>
                <w:b/>
                <w:bCs/>
                <w:iCs/>
                <w:sz w:val="18"/>
                <w:szCs w:val="18"/>
              </w:rPr>
            </w:pPr>
            <w:r w:rsidRPr="00A727C5">
              <w:rPr>
                <w:rFonts w:ascii="Arial" w:hAnsi="Arial" w:cs="Arial"/>
                <w:b/>
                <w:bCs/>
                <w:iCs/>
                <w:sz w:val="18"/>
                <w:szCs w:val="18"/>
              </w:rPr>
              <w:t>Grains rejected for failing SAR quality assurance criteria (%)</w:t>
            </w:r>
          </w:p>
        </w:tc>
        <w:tc>
          <w:tcPr>
            <w:tcW w:w="1121" w:type="dxa"/>
            <w:tcBorders>
              <w:top w:val="single" w:sz="4" w:space="0" w:color="auto"/>
            </w:tcBorders>
            <w:vAlign w:val="center"/>
          </w:tcPr>
          <w:p w14:paraId="1AD88228" w14:textId="1075867D" w:rsidR="007E554C" w:rsidRPr="00A727C5" w:rsidRDefault="007E554C" w:rsidP="0086528B">
            <w:pPr>
              <w:jc w:val="center"/>
              <w:rPr>
                <w:rFonts w:ascii="Arial" w:hAnsi="Arial" w:cs="Arial"/>
                <w:sz w:val="18"/>
                <w:szCs w:val="18"/>
              </w:rPr>
            </w:pPr>
          </w:p>
        </w:tc>
        <w:tc>
          <w:tcPr>
            <w:tcW w:w="1121" w:type="dxa"/>
            <w:tcBorders>
              <w:top w:val="single" w:sz="4" w:space="0" w:color="auto"/>
            </w:tcBorders>
            <w:shd w:val="clear" w:color="auto" w:fill="auto"/>
            <w:noWrap/>
            <w:vAlign w:val="center"/>
          </w:tcPr>
          <w:p w14:paraId="7F0608B3" w14:textId="77777777" w:rsidR="007E554C" w:rsidRPr="00A727C5" w:rsidRDefault="007E554C" w:rsidP="0086528B">
            <w:pPr>
              <w:jc w:val="center"/>
              <w:rPr>
                <w:rFonts w:ascii="Arial" w:hAnsi="Arial" w:cs="Arial"/>
                <w:sz w:val="18"/>
                <w:szCs w:val="18"/>
              </w:rPr>
            </w:pPr>
          </w:p>
        </w:tc>
        <w:tc>
          <w:tcPr>
            <w:tcW w:w="1121" w:type="dxa"/>
            <w:tcBorders>
              <w:top w:val="single" w:sz="4" w:space="0" w:color="auto"/>
            </w:tcBorders>
            <w:vAlign w:val="center"/>
          </w:tcPr>
          <w:p w14:paraId="2588C8DE" w14:textId="77777777" w:rsidR="007E554C" w:rsidRPr="00A727C5" w:rsidRDefault="007E554C" w:rsidP="0086528B">
            <w:pPr>
              <w:jc w:val="center"/>
              <w:rPr>
                <w:rFonts w:ascii="Arial" w:hAnsi="Arial" w:cs="Arial"/>
                <w:sz w:val="18"/>
                <w:szCs w:val="18"/>
              </w:rPr>
            </w:pPr>
          </w:p>
        </w:tc>
        <w:tc>
          <w:tcPr>
            <w:tcW w:w="1121" w:type="dxa"/>
            <w:tcBorders>
              <w:top w:val="single" w:sz="4" w:space="0" w:color="auto"/>
            </w:tcBorders>
            <w:vAlign w:val="center"/>
          </w:tcPr>
          <w:p w14:paraId="0B8EC0A6" w14:textId="77777777" w:rsidR="007E554C" w:rsidRPr="00A727C5" w:rsidRDefault="007E554C" w:rsidP="0086528B">
            <w:pPr>
              <w:jc w:val="center"/>
              <w:rPr>
                <w:rFonts w:ascii="Arial" w:hAnsi="Arial" w:cs="Arial"/>
                <w:sz w:val="18"/>
                <w:szCs w:val="18"/>
              </w:rPr>
            </w:pPr>
          </w:p>
        </w:tc>
        <w:tc>
          <w:tcPr>
            <w:tcW w:w="1121" w:type="dxa"/>
            <w:tcBorders>
              <w:top w:val="single" w:sz="4" w:space="0" w:color="auto"/>
            </w:tcBorders>
            <w:vAlign w:val="center"/>
          </w:tcPr>
          <w:p w14:paraId="7E81452A" w14:textId="77777777" w:rsidR="007E554C" w:rsidRPr="00A727C5" w:rsidRDefault="007E554C" w:rsidP="0086528B">
            <w:pPr>
              <w:jc w:val="center"/>
              <w:rPr>
                <w:rFonts w:ascii="Arial" w:hAnsi="Arial" w:cs="Arial"/>
                <w:sz w:val="18"/>
                <w:szCs w:val="18"/>
              </w:rPr>
            </w:pPr>
          </w:p>
        </w:tc>
        <w:tc>
          <w:tcPr>
            <w:tcW w:w="1121" w:type="dxa"/>
            <w:tcBorders>
              <w:top w:val="single" w:sz="4" w:space="0" w:color="auto"/>
            </w:tcBorders>
            <w:vAlign w:val="center"/>
          </w:tcPr>
          <w:p w14:paraId="40476A8C" w14:textId="77777777" w:rsidR="007E554C" w:rsidRPr="00A727C5" w:rsidRDefault="007E554C" w:rsidP="0086528B">
            <w:pPr>
              <w:jc w:val="center"/>
              <w:rPr>
                <w:rFonts w:ascii="Arial" w:hAnsi="Arial" w:cs="Arial"/>
                <w:sz w:val="18"/>
                <w:szCs w:val="18"/>
              </w:rPr>
            </w:pPr>
          </w:p>
        </w:tc>
      </w:tr>
      <w:tr w:rsidR="007E554C" w:rsidRPr="00A727C5" w14:paraId="75359977" w14:textId="77777777" w:rsidTr="0086528B">
        <w:trPr>
          <w:trHeight w:val="351"/>
        </w:trPr>
        <w:tc>
          <w:tcPr>
            <w:tcW w:w="5474" w:type="dxa"/>
            <w:tcBorders>
              <w:top w:val="nil"/>
              <w:bottom w:val="nil"/>
            </w:tcBorders>
            <w:shd w:val="clear" w:color="auto" w:fill="auto"/>
            <w:noWrap/>
            <w:vAlign w:val="center"/>
          </w:tcPr>
          <w:p w14:paraId="42E1E6D6" w14:textId="55394532" w:rsidR="007E554C" w:rsidRPr="00A727C5" w:rsidRDefault="00D76D12" w:rsidP="0086528B">
            <w:pPr>
              <w:rPr>
                <w:rFonts w:ascii="Arial" w:hAnsi="Arial" w:cs="Arial"/>
                <w:sz w:val="18"/>
                <w:szCs w:val="18"/>
              </w:rPr>
            </w:pPr>
            <w:r>
              <w:rPr>
                <w:rFonts w:ascii="Arial" w:hAnsi="Arial" w:cs="Arial"/>
                <w:sz w:val="18"/>
                <w:szCs w:val="18"/>
              </w:rPr>
              <w:t>Weak OSL signals (</w:t>
            </w:r>
            <w:r w:rsidR="007E554C" w:rsidRPr="00A727C5">
              <w:rPr>
                <w:rFonts w:ascii="Arial" w:hAnsi="Arial" w:cs="Arial"/>
                <w:sz w:val="18"/>
                <w:szCs w:val="18"/>
              </w:rPr>
              <w:t>T</w:t>
            </w:r>
            <w:r w:rsidR="007E554C" w:rsidRPr="00A727C5">
              <w:rPr>
                <w:rFonts w:ascii="Arial" w:hAnsi="Arial" w:cs="Arial"/>
                <w:sz w:val="18"/>
                <w:szCs w:val="18"/>
                <w:vertAlign w:val="subscript"/>
              </w:rPr>
              <w:t>n</w:t>
            </w:r>
            <w:r w:rsidR="007E554C" w:rsidRPr="00A727C5">
              <w:rPr>
                <w:rFonts w:ascii="Arial" w:hAnsi="Arial" w:cs="Arial"/>
                <w:sz w:val="18"/>
                <w:szCs w:val="18"/>
              </w:rPr>
              <w:t xml:space="preserve"> &lt;3</w:t>
            </w:r>
            <w:r w:rsidR="007E554C" w:rsidRPr="00A727C5">
              <w:rPr>
                <w:rFonts w:ascii="Arial" w:hAnsi="Arial" w:cs="Arial"/>
                <w:i/>
                <w:iCs/>
                <w:sz w:val="18"/>
                <w:szCs w:val="18"/>
              </w:rPr>
              <w:t>σ</w:t>
            </w:r>
            <w:r w:rsidR="007E554C" w:rsidRPr="00A727C5">
              <w:rPr>
                <w:rFonts w:ascii="Arial" w:hAnsi="Arial" w:cs="Arial"/>
                <w:sz w:val="18"/>
                <w:szCs w:val="18"/>
              </w:rPr>
              <w:t xml:space="preserve"> background</w:t>
            </w:r>
            <w:r>
              <w:rPr>
                <w:rFonts w:ascii="Arial" w:hAnsi="Arial" w:cs="Arial"/>
                <w:sz w:val="18"/>
                <w:szCs w:val="18"/>
              </w:rPr>
              <w:t>)</w:t>
            </w:r>
          </w:p>
        </w:tc>
        <w:tc>
          <w:tcPr>
            <w:tcW w:w="1121" w:type="dxa"/>
            <w:tcBorders>
              <w:top w:val="nil"/>
              <w:bottom w:val="nil"/>
            </w:tcBorders>
            <w:vAlign w:val="center"/>
          </w:tcPr>
          <w:p w14:paraId="6F6189EA" w14:textId="07B53577" w:rsidR="007E554C" w:rsidRPr="00A727C5" w:rsidRDefault="008A7C5A" w:rsidP="0086528B">
            <w:pPr>
              <w:jc w:val="center"/>
              <w:rPr>
                <w:rFonts w:ascii="Arial" w:hAnsi="Arial" w:cs="Arial"/>
                <w:sz w:val="18"/>
                <w:szCs w:val="18"/>
              </w:rPr>
            </w:pPr>
            <w:r>
              <w:rPr>
                <w:rFonts w:ascii="Arial" w:hAnsi="Arial" w:cs="Arial"/>
                <w:sz w:val="18"/>
                <w:szCs w:val="18"/>
              </w:rPr>
              <w:t>42</w:t>
            </w:r>
          </w:p>
        </w:tc>
        <w:tc>
          <w:tcPr>
            <w:tcW w:w="1121" w:type="dxa"/>
            <w:tcBorders>
              <w:top w:val="nil"/>
              <w:bottom w:val="nil"/>
            </w:tcBorders>
            <w:shd w:val="clear" w:color="auto" w:fill="auto"/>
            <w:noWrap/>
            <w:vAlign w:val="center"/>
          </w:tcPr>
          <w:p w14:paraId="0BF4BE9C" w14:textId="70768C04" w:rsidR="007E554C" w:rsidRPr="00A727C5" w:rsidRDefault="008A7C5A" w:rsidP="0086528B">
            <w:pPr>
              <w:jc w:val="center"/>
              <w:rPr>
                <w:rFonts w:ascii="Arial" w:hAnsi="Arial" w:cs="Arial"/>
                <w:sz w:val="18"/>
                <w:szCs w:val="18"/>
              </w:rPr>
            </w:pPr>
            <w:r>
              <w:rPr>
                <w:rFonts w:ascii="Arial" w:hAnsi="Arial" w:cs="Arial"/>
                <w:sz w:val="18"/>
                <w:szCs w:val="18"/>
              </w:rPr>
              <w:t>40</w:t>
            </w:r>
          </w:p>
        </w:tc>
        <w:tc>
          <w:tcPr>
            <w:tcW w:w="1121" w:type="dxa"/>
            <w:tcBorders>
              <w:top w:val="nil"/>
              <w:bottom w:val="nil"/>
            </w:tcBorders>
            <w:vAlign w:val="center"/>
          </w:tcPr>
          <w:p w14:paraId="47413007" w14:textId="7240D866" w:rsidR="007E554C" w:rsidRPr="00A727C5" w:rsidRDefault="00F104E7" w:rsidP="0086528B">
            <w:pPr>
              <w:jc w:val="center"/>
              <w:rPr>
                <w:rFonts w:ascii="Arial" w:hAnsi="Arial" w:cs="Arial"/>
                <w:sz w:val="18"/>
                <w:szCs w:val="18"/>
              </w:rPr>
            </w:pPr>
            <w:r>
              <w:rPr>
                <w:rFonts w:ascii="Arial" w:hAnsi="Arial" w:cs="Arial"/>
                <w:sz w:val="18"/>
                <w:szCs w:val="18"/>
              </w:rPr>
              <w:t>44</w:t>
            </w:r>
          </w:p>
        </w:tc>
        <w:tc>
          <w:tcPr>
            <w:tcW w:w="1121" w:type="dxa"/>
            <w:tcBorders>
              <w:top w:val="nil"/>
              <w:bottom w:val="nil"/>
            </w:tcBorders>
            <w:vAlign w:val="center"/>
          </w:tcPr>
          <w:p w14:paraId="2ADC4FB7" w14:textId="65730C82" w:rsidR="007E554C" w:rsidRDefault="00F104E7" w:rsidP="0086528B">
            <w:pPr>
              <w:jc w:val="center"/>
              <w:rPr>
                <w:rFonts w:ascii="Arial" w:hAnsi="Arial" w:cs="Arial"/>
                <w:sz w:val="18"/>
                <w:szCs w:val="18"/>
              </w:rPr>
            </w:pPr>
            <w:r>
              <w:rPr>
                <w:rFonts w:ascii="Arial" w:hAnsi="Arial" w:cs="Arial"/>
                <w:sz w:val="18"/>
                <w:szCs w:val="18"/>
              </w:rPr>
              <w:t>50</w:t>
            </w:r>
          </w:p>
        </w:tc>
        <w:tc>
          <w:tcPr>
            <w:tcW w:w="1121" w:type="dxa"/>
            <w:tcBorders>
              <w:top w:val="nil"/>
              <w:bottom w:val="nil"/>
            </w:tcBorders>
            <w:vAlign w:val="center"/>
          </w:tcPr>
          <w:p w14:paraId="60EAEAC8" w14:textId="35B8BBC1" w:rsidR="007E554C" w:rsidRDefault="00140609" w:rsidP="0086528B">
            <w:pPr>
              <w:jc w:val="center"/>
              <w:rPr>
                <w:rFonts w:ascii="Arial" w:hAnsi="Arial" w:cs="Arial"/>
                <w:sz w:val="18"/>
                <w:szCs w:val="18"/>
              </w:rPr>
            </w:pPr>
            <w:r>
              <w:rPr>
                <w:rFonts w:ascii="Arial" w:hAnsi="Arial" w:cs="Arial"/>
                <w:sz w:val="18"/>
                <w:szCs w:val="18"/>
              </w:rPr>
              <w:t>31</w:t>
            </w:r>
          </w:p>
        </w:tc>
        <w:tc>
          <w:tcPr>
            <w:tcW w:w="1121" w:type="dxa"/>
            <w:tcBorders>
              <w:top w:val="nil"/>
              <w:bottom w:val="nil"/>
            </w:tcBorders>
            <w:vAlign w:val="center"/>
          </w:tcPr>
          <w:p w14:paraId="2F3DE98D" w14:textId="4C442830" w:rsidR="007E554C" w:rsidRDefault="00140609" w:rsidP="0086528B">
            <w:pPr>
              <w:jc w:val="center"/>
              <w:rPr>
                <w:rFonts w:ascii="Arial" w:hAnsi="Arial" w:cs="Arial"/>
                <w:sz w:val="18"/>
                <w:szCs w:val="18"/>
              </w:rPr>
            </w:pPr>
            <w:r>
              <w:rPr>
                <w:rFonts w:ascii="Arial" w:hAnsi="Arial" w:cs="Arial"/>
                <w:sz w:val="18"/>
                <w:szCs w:val="18"/>
              </w:rPr>
              <w:t>28</w:t>
            </w:r>
          </w:p>
        </w:tc>
      </w:tr>
      <w:tr w:rsidR="007E554C" w:rsidRPr="00A727C5" w14:paraId="0F9C7097" w14:textId="77777777" w:rsidTr="0086528B">
        <w:trPr>
          <w:trHeight w:val="351"/>
        </w:trPr>
        <w:tc>
          <w:tcPr>
            <w:tcW w:w="5474" w:type="dxa"/>
            <w:tcBorders>
              <w:top w:val="nil"/>
              <w:bottom w:val="nil"/>
            </w:tcBorders>
            <w:shd w:val="clear" w:color="auto" w:fill="auto"/>
            <w:noWrap/>
            <w:vAlign w:val="center"/>
          </w:tcPr>
          <w:p w14:paraId="244D62DE" w14:textId="77777777" w:rsidR="007E554C" w:rsidRPr="00A727C5" w:rsidRDefault="007E554C" w:rsidP="0086528B">
            <w:pPr>
              <w:rPr>
                <w:rFonts w:ascii="Arial" w:hAnsi="Arial" w:cs="Arial"/>
                <w:sz w:val="18"/>
                <w:szCs w:val="18"/>
              </w:rPr>
            </w:pPr>
            <w:r w:rsidRPr="00A727C5">
              <w:rPr>
                <w:rFonts w:ascii="Arial" w:hAnsi="Arial" w:cs="Arial"/>
                <w:sz w:val="18"/>
                <w:szCs w:val="18"/>
              </w:rPr>
              <w:t>Low-dose recycling ratio ≠ 1 at ±2</w:t>
            </w:r>
            <w:r w:rsidRPr="00A727C5">
              <w:rPr>
                <w:rFonts w:ascii="Arial" w:hAnsi="Arial" w:cs="Arial"/>
                <w:i/>
                <w:iCs/>
                <w:sz w:val="18"/>
                <w:szCs w:val="18"/>
              </w:rPr>
              <w:t>σ</w:t>
            </w:r>
          </w:p>
        </w:tc>
        <w:tc>
          <w:tcPr>
            <w:tcW w:w="1121" w:type="dxa"/>
            <w:tcBorders>
              <w:top w:val="nil"/>
              <w:bottom w:val="nil"/>
            </w:tcBorders>
            <w:vAlign w:val="center"/>
          </w:tcPr>
          <w:p w14:paraId="47D6A335" w14:textId="7E9ADE8F" w:rsidR="007E554C" w:rsidRPr="00A727C5" w:rsidRDefault="008A7C5A" w:rsidP="0086528B">
            <w:pPr>
              <w:jc w:val="center"/>
              <w:rPr>
                <w:rFonts w:ascii="Arial" w:hAnsi="Arial" w:cs="Arial"/>
                <w:sz w:val="18"/>
                <w:szCs w:val="18"/>
              </w:rPr>
            </w:pPr>
            <w:r>
              <w:rPr>
                <w:rFonts w:ascii="Arial" w:hAnsi="Arial" w:cs="Arial"/>
                <w:sz w:val="18"/>
                <w:szCs w:val="18"/>
              </w:rPr>
              <w:t>6</w:t>
            </w:r>
          </w:p>
        </w:tc>
        <w:tc>
          <w:tcPr>
            <w:tcW w:w="1121" w:type="dxa"/>
            <w:tcBorders>
              <w:top w:val="nil"/>
              <w:bottom w:val="nil"/>
            </w:tcBorders>
            <w:shd w:val="clear" w:color="auto" w:fill="auto"/>
            <w:noWrap/>
            <w:vAlign w:val="center"/>
          </w:tcPr>
          <w:p w14:paraId="104009D0" w14:textId="10052C1C" w:rsidR="007E554C" w:rsidRPr="00A727C5" w:rsidRDefault="008A7C5A" w:rsidP="0086528B">
            <w:pPr>
              <w:jc w:val="center"/>
              <w:rPr>
                <w:rFonts w:ascii="Arial" w:hAnsi="Arial" w:cs="Arial"/>
                <w:sz w:val="18"/>
                <w:szCs w:val="18"/>
              </w:rPr>
            </w:pPr>
            <w:r>
              <w:rPr>
                <w:rFonts w:ascii="Arial" w:hAnsi="Arial" w:cs="Arial"/>
                <w:sz w:val="18"/>
                <w:szCs w:val="18"/>
              </w:rPr>
              <w:t>6</w:t>
            </w:r>
          </w:p>
        </w:tc>
        <w:tc>
          <w:tcPr>
            <w:tcW w:w="1121" w:type="dxa"/>
            <w:tcBorders>
              <w:top w:val="nil"/>
              <w:bottom w:val="nil"/>
            </w:tcBorders>
            <w:vAlign w:val="center"/>
          </w:tcPr>
          <w:p w14:paraId="03C53713" w14:textId="156A5BB8" w:rsidR="007E554C" w:rsidRPr="00A727C5" w:rsidRDefault="00F104E7" w:rsidP="0086528B">
            <w:pPr>
              <w:jc w:val="center"/>
              <w:rPr>
                <w:rFonts w:ascii="Arial" w:hAnsi="Arial" w:cs="Arial"/>
                <w:sz w:val="18"/>
                <w:szCs w:val="18"/>
              </w:rPr>
            </w:pPr>
            <w:r>
              <w:rPr>
                <w:rFonts w:ascii="Arial" w:hAnsi="Arial" w:cs="Arial"/>
                <w:sz w:val="18"/>
                <w:szCs w:val="18"/>
              </w:rPr>
              <w:t>5</w:t>
            </w:r>
          </w:p>
        </w:tc>
        <w:tc>
          <w:tcPr>
            <w:tcW w:w="1121" w:type="dxa"/>
            <w:tcBorders>
              <w:top w:val="nil"/>
              <w:bottom w:val="nil"/>
            </w:tcBorders>
            <w:vAlign w:val="center"/>
          </w:tcPr>
          <w:p w14:paraId="3FDE8475" w14:textId="1C740276" w:rsidR="007E554C" w:rsidRDefault="00F104E7" w:rsidP="0086528B">
            <w:pPr>
              <w:jc w:val="center"/>
              <w:rPr>
                <w:rFonts w:ascii="Arial" w:hAnsi="Arial" w:cs="Arial"/>
                <w:sz w:val="18"/>
                <w:szCs w:val="18"/>
              </w:rPr>
            </w:pPr>
            <w:r>
              <w:rPr>
                <w:rFonts w:ascii="Arial" w:hAnsi="Arial" w:cs="Arial"/>
                <w:sz w:val="18"/>
                <w:szCs w:val="18"/>
              </w:rPr>
              <w:t>5</w:t>
            </w:r>
          </w:p>
        </w:tc>
        <w:tc>
          <w:tcPr>
            <w:tcW w:w="1121" w:type="dxa"/>
            <w:tcBorders>
              <w:top w:val="nil"/>
              <w:bottom w:val="nil"/>
            </w:tcBorders>
            <w:vAlign w:val="center"/>
          </w:tcPr>
          <w:p w14:paraId="568C4AF4" w14:textId="18646FE2" w:rsidR="007E554C" w:rsidRDefault="00140609" w:rsidP="0086528B">
            <w:pPr>
              <w:jc w:val="center"/>
              <w:rPr>
                <w:rFonts w:ascii="Arial" w:hAnsi="Arial" w:cs="Arial"/>
                <w:sz w:val="18"/>
                <w:szCs w:val="18"/>
              </w:rPr>
            </w:pPr>
            <w:r>
              <w:rPr>
                <w:rFonts w:ascii="Arial" w:hAnsi="Arial" w:cs="Arial"/>
                <w:sz w:val="18"/>
                <w:szCs w:val="18"/>
              </w:rPr>
              <w:t>7</w:t>
            </w:r>
          </w:p>
        </w:tc>
        <w:tc>
          <w:tcPr>
            <w:tcW w:w="1121" w:type="dxa"/>
            <w:tcBorders>
              <w:top w:val="nil"/>
              <w:bottom w:val="nil"/>
            </w:tcBorders>
            <w:vAlign w:val="center"/>
          </w:tcPr>
          <w:p w14:paraId="5F24534C" w14:textId="69992EAE" w:rsidR="007E554C" w:rsidRDefault="00140609" w:rsidP="0086528B">
            <w:pPr>
              <w:jc w:val="center"/>
              <w:rPr>
                <w:rFonts w:ascii="Arial" w:hAnsi="Arial" w:cs="Arial"/>
                <w:sz w:val="18"/>
                <w:szCs w:val="18"/>
              </w:rPr>
            </w:pPr>
            <w:r>
              <w:rPr>
                <w:rFonts w:ascii="Arial" w:hAnsi="Arial" w:cs="Arial"/>
                <w:sz w:val="18"/>
                <w:szCs w:val="18"/>
              </w:rPr>
              <w:t>7</w:t>
            </w:r>
          </w:p>
        </w:tc>
      </w:tr>
      <w:tr w:rsidR="007E554C" w:rsidRPr="00A727C5" w14:paraId="4051A6FA" w14:textId="77777777" w:rsidTr="0086528B">
        <w:trPr>
          <w:trHeight w:val="351"/>
        </w:trPr>
        <w:tc>
          <w:tcPr>
            <w:tcW w:w="5474" w:type="dxa"/>
            <w:tcBorders>
              <w:top w:val="nil"/>
              <w:bottom w:val="nil"/>
            </w:tcBorders>
            <w:shd w:val="clear" w:color="auto" w:fill="auto"/>
            <w:noWrap/>
            <w:vAlign w:val="center"/>
          </w:tcPr>
          <w:p w14:paraId="7F980C7F" w14:textId="77777777" w:rsidR="007E554C" w:rsidRPr="00A727C5" w:rsidRDefault="007E554C" w:rsidP="0086528B">
            <w:pPr>
              <w:rPr>
                <w:rFonts w:ascii="Arial" w:hAnsi="Arial" w:cs="Arial"/>
                <w:sz w:val="18"/>
                <w:szCs w:val="18"/>
              </w:rPr>
            </w:pPr>
            <w:r w:rsidRPr="00A727C5">
              <w:rPr>
                <w:rFonts w:ascii="Arial" w:hAnsi="Arial" w:cs="Arial"/>
                <w:sz w:val="18"/>
                <w:szCs w:val="18"/>
              </w:rPr>
              <w:t>High-dose recycling ratio ≠ 1 at ±2</w:t>
            </w:r>
            <w:r w:rsidRPr="00A727C5">
              <w:rPr>
                <w:rFonts w:ascii="Arial" w:hAnsi="Arial" w:cs="Arial"/>
                <w:i/>
                <w:iCs/>
                <w:sz w:val="18"/>
                <w:szCs w:val="18"/>
              </w:rPr>
              <w:t>σ</w:t>
            </w:r>
          </w:p>
        </w:tc>
        <w:tc>
          <w:tcPr>
            <w:tcW w:w="1121" w:type="dxa"/>
            <w:tcBorders>
              <w:top w:val="nil"/>
              <w:bottom w:val="nil"/>
            </w:tcBorders>
            <w:vAlign w:val="center"/>
          </w:tcPr>
          <w:p w14:paraId="07245475" w14:textId="0242130F" w:rsidR="007E554C" w:rsidRPr="00A727C5" w:rsidRDefault="008A7C5A" w:rsidP="0086528B">
            <w:pPr>
              <w:jc w:val="center"/>
              <w:rPr>
                <w:rFonts w:ascii="Arial" w:hAnsi="Arial" w:cs="Arial"/>
                <w:sz w:val="18"/>
                <w:szCs w:val="18"/>
              </w:rPr>
            </w:pPr>
            <w:r>
              <w:rPr>
                <w:rFonts w:ascii="Arial" w:hAnsi="Arial" w:cs="Arial"/>
                <w:sz w:val="18"/>
                <w:szCs w:val="18"/>
              </w:rPr>
              <w:t>4</w:t>
            </w:r>
          </w:p>
        </w:tc>
        <w:tc>
          <w:tcPr>
            <w:tcW w:w="1121" w:type="dxa"/>
            <w:tcBorders>
              <w:top w:val="nil"/>
              <w:bottom w:val="nil"/>
            </w:tcBorders>
            <w:shd w:val="clear" w:color="auto" w:fill="auto"/>
            <w:noWrap/>
            <w:vAlign w:val="center"/>
          </w:tcPr>
          <w:p w14:paraId="17C8CAC6" w14:textId="6DC874F2" w:rsidR="007E554C" w:rsidRPr="00A727C5" w:rsidRDefault="008A7C5A" w:rsidP="0086528B">
            <w:pPr>
              <w:jc w:val="center"/>
              <w:rPr>
                <w:rFonts w:ascii="Arial" w:hAnsi="Arial" w:cs="Arial"/>
                <w:sz w:val="18"/>
                <w:szCs w:val="18"/>
              </w:rPr>
            </w:pPr>
            <w:r>
              <w:rPr>
                <w:rFonts w:ascii="Arial" w:hAnsi="Arial" w:cs="Arial"/>
                <w:sz w:val="18"/>
                <w:szCs w:val="18"/>
              </w:rPr>
              <w:t>5</w:t>
            </w:r>
          </w:p>
        </w:tc>
        <w:tc>
          <w:tcPr>
            <w:tcW w:w="1121" w:type="dxa"/>
            <w:tcBorders>
              <w:top w:val="nil"/>
              <w:bottom w:val="nil"/>
            </w:tcBorders>
            <w:vAlign w:val="center"/>
          </w:tcPr>
          <w:p w14:paraId="0D17BF3C" w14:textId="4D1B2482" w:rsidR="007E554C" w:rsidRPr="00A727C5" w:rsidRDefault="00F104E7" w:rsidP="0086528B">
            <w:pPr>
              <w:jc w:val="center"/>
              <w:rPr>
                <w:rFonts w:ascii="Arial" w:hAnsi="Arial" w:cs="Arial"/>
                <w:sz w:val="18"/>
                <w:szCs w:val="18"/>
              </w:rPr>
            </w:pPr>
            <w:r>
              <w:rPr>
                <w:rFonts w:ascii="Arial" w:hAnsi="Arial" w:cs="Arial"/>
                <w:sz w:val="18"/>
                <w:szCs w:val="18"/>
              </w:rPr>
              <w:t>4</w:t>
            </w:r>
          </w:p>
        </w:tc>
        <w:tc>
          <w:tcPr>
            <w:tcW w:w="1121" w:type="dxa"/>
            <w:tcBorders>
              <w:top w:val="nil"/>
              <w:bottom w:val="nil"/>
            </w:tcBorders>
            <w:vAlign w:val="center"/>
          </w:tcPr>
          <w:p w14:paraId="63102834" w14:textId="2A41FB7E" w:rsidR="007E554C" w:rsidRDefault="00F104E7" w:rsidP="0086528B">
            <w:pPr>
              <w:jc w:val="center"/>
              <w:rPr>
                <w:rFonts w:ascii="Arial" w:hAnsi="Arial" w:cs="Arial"/>
                <w:sz w:val="18"/>
                <w:szCs w:val="18"/>
              </w:rPr>
            </w:pPr>
            <w:r>
              <w:rPr>
                <w:rFonts w:ascii="Arial" w:hAnsi="Arial" w:cs="Arial"/>
                <w:sz w:val="18"/>
                <w:szCs w:val="18"/>
              </w:rPr>
              <w:t>5</w:t>
            </w:r>
          </w:p>
        </w:tc>
        <w:tc>
          <w:tcPr>
            <w:tcW w:w="1121" w:type="dxa"/>
            <w:tcBorders>
              <w:top w:val="nil"/>
              <w:bottom w:val="nil"/>
            </w:tcBorders>
            <w:vAlign w:val="center"/>
          </w:tcPr>
          <w:p w14:paraId="7DE330B3" w14:textId="03AD9C1E" w:rsidR="007E554C" w:rsidRDefault="00140609" w:rsidP="0086528B">
            <w:pPr>
              <w:jc w:val="center"/>
              <w:rPr>
                <w:rFonts w:ascii="Arial" w:hAnsi="Arial" w:cs="Arial"/>
                <w:sz w:val="18"/>
                <w:szCs w:val="18"/>
              </w:rPr>
            </w:pPr>
            <w:r>
              <w:rPr>
                <w:rFonts w:ascii="Arial" w:hAnsi="Arial" w:cs="Arial"/>
                <w:sz w:val="18"/>
                <w:szCs w:val="18"/>
              </w:rPr>
              <w:t>4</w:t>
            </w:r>
          </w:p>
        </w:tc>
        <w:tc>
          <w:tcPr>
            <w:tcW w:w="1121" w:type="dxa"/>
            <w:tcBorders>
              <w:top w:val="nil"/>
              <w:bottom w:val="nil"/>
            </w:tcBorders>
            <w:vAlign w:val="center"/>
          </w:tcPr>
          <w:p w14:paraId="0FD02CC1" w14:textId="618F2608" w:rsidR="007E554C" w:rsidRDefault="00140609" w:rsidP="0086528B">
            <w:pPr>
              <w:jc w:val="center"/>
              <w:rPr>
                <w:rFonts w:ascii="Arial" w:hAnsi="Arial" w:cs="Arial"/>
                <w:sz w:val="18"/>
                <w:szCs w:val="18"/>
              </w:rPr>
            </w:pPr>
            <w:r>
              <w:rPr>
                <w:rFonts w:ascii="Arial" w:hAnsi="Arial" w:cs="Arial"/>
                <w:sz w:val="18"/>
                <w:szCs w:val="18"/>
              </w:rPr>
              <w:t>5</w:t>
            </w:r>
          </w:p>
        </w:tc>
      </w:tr>
      <w:tr w:rsidR="007E554C" w:rsidRPr="00A727C5" w14:paraId="144F579C" w14:textId="77777777" w:rsidTr="0086528B">
        <w:trPr>
          <w:trHeight w:val="351"/>
        </w:trPr>
        <w:tc>
          <w:tcPr>
            <w:tcW w:w="5474" w:type="dxa"/>
            <w:tcBorders>
              <w:top w:val="nil"/>
              <w:bottom w:val="nil"/>
            </w:tcBorders>
            <w:shd w:val="clear" w:color="auto" w:fill="auto"/>
            <w:noWrap/>
            <w:vAlign w:val="center"/>
          </w:tcPr>
          <w:p w14:paraId="177FADDF" w14:textId="77777777" w:rsidR="007E554C" w:rsidRPr="00A727C5" w:rsidRDefault="007E554C" w:rsidP="0086528B">
            <w:pPr>
              <w:rPr>
                <w:rFonts w:ascii="Arial" w:hAnsi="Arial" w:cs="Arial"/>
                <w:sz w:val="18"/>
                <w:szCs w:val="18"/>
              </w:rPr>
            </w:pPr>
            <w:r w:rsidRPr="00A727C5">
              <w:rPr>
                <w:rFonts w:ascii="Arial" w:hAnsi="Arial" w:cs="Arial"/>
                <w:sz w:val="18"/>
                <w:szCs w:val="18"/>
              </w:rPr>
              <w:t>OSL-IR depletion ratio &lt;1 at ±2σ</w:t>
            </w:r>
          </w:p>
        </w:tc>
        <w:tc>
          <w:tcPr>
            <w:tcW w:w="1121" w:type="dxa"/>
            <w:tcBorders>
              <w:top w:val="nil"/>
              <w:bottom w:val="nil"/>
            </w:tcBorders>
            <w:vAlign w:val="center"/>
          </w:tcPr>
          <w:p w14:paraId="183E10D1" w14:textId="08266D9E" w:rsidR="007E554C" w:rsidRPr="00A727C5" w:rsidRDefault="008A7C5A" w:rsidP="0086528B">
            <w:pPr>
              <w:jc w:val="center"/>
              <w:rPr>
                <w:rFonts w:ascii="Arial" w:hAnsi="Arial" w:cs="Arial"/>
                <w:sz w:val="18"/>
                <w:szCs w:val="18"/>
              </w:rPr>
            </w:pPr>
            <w:r>
              <w:rPr>
                <w:rFonts w:ascii="Arial" w:hAnsi="Arial" w:cs="Arial"/>
                <w:sz w:val="18"/>
                <w:szCs w:val="18"/>
              </w:rPr>
              <w:t>6</w:t>
            </w:r>
          </w:p>
        </w:tc>
        <w:tc>
          <w:tcPr>
            <w:tcW w:w="1121" w:type="dxa"/>
            <w:tcBorders>
              <w:top w:val="nil"/>
              <w:bottom w:val="nil"/>
            </w:tcBorders>
            <w:shd w:val="clear" w:color="auto" w:fill="auto"/>
            <w:noWrap/>
            <w:vAlign w:val="center"/>
          </w:tcPr>
          <w:p w14:paraId="2017DC5F" w14:textId="522A8132" w:rsidR="007E554C" w:rsidRPr="00A727C5" w:rsidRDefault="008A7C5A" w:rsidP="0086528B">
            <w:pPr>
              <w:jc w:val="center"/>
              <w:rPr>
                <w:rFonts w:ascii="Arial" w:hAnsi="Arial" w:cs="Arial"/>
                <w:sz w:val="18"/>
                <w:szCs w:val="18"/>
              </w:rPr>
            </w:pPr>
            <w:r>
              <w:rPr>
                <w:rFonts w:ascii="Arial" w:hAnsi="Arial" w:cs="Arial"/>
                <w:sz w:val="18"/>
                <w:szCs w:val="18"/>
              </w:rPr>
              <w:t>6</w:t>
            </w:r>
          </w:p>
        </w:tc>
        <w:tc>
          <w:tcPr>
            <w:tcW w:w="1121" w:type="dxa"/>
            <w:tcBorders>
              <w:top w:val="nil"/>
              <w:bottom w:val="nil"/>
            </w:tcBorders>
            <w:vAlign w:val="center"/>
          </w:tcPr>
          <w:p w14:paraId="4E6DF610" w14:textId="6AC10E88" w:rsidR="007E554C" w:rsidRPr="00A727C5" w:rsidRDefault="00F104E7" w:rsidP="0086528B">
            <w:pPr>
              <w:jc w:val="center"/>
              <w:rPr>
                <w:rFonts w:ascii="Arial" w:hAnsi="Arial" w:cs="Arial"/>
                <w:sz w:val="18"/>
                <w:szCs w:val="18"/>
              </w:rPr>
            </w:pPr>
            <w:r>
              <w:rPr>
                <w:rFonts w:ascii="Arial" w:hAnsi="Arial" w:cs="Arial"/>
                <w:sz w:val="18"/>
                <w:szCs w:val="18"/>
              </w:rPr>
              <w:t>6</w:t>
            </w:r>
          </w:p>
        </w:tc>
        <w:tc>
          <w:tcPr>
            <w:tcW w:w="1121" w:type="dxa"/>
            <w:tcBorders>
              <w:top w:val="nil"/>
              <w:bottom w:val="nil"/>
            </w:tcBorders>
            <w:vAlign w:val="center"/>
          </w:tcPr>
          <w:p w14:paraId="6B859D93" w14:textId="1BEE1397" w:rsidR="007E554C" w:rsidRDefault="00F104E7" w:rsidP="0086528B">
            <w:pPr>
              <w:jc w:val="center"/>
              <w:rPr>
                <w:rFonts w:ascii="Arial" w:hAnsi="Arial" w:cs="Arial"/>
                <w:sz w:val="18"/>
                <w:szCs w:val="18"/>
              </w:rPr>
            </w:pPr>
            <w:r>
              <w:rPr>
                <w:rFonts w:ascii="Arial" w:hAnsi="Arial" w:cs="Arial"/>
                <w:sz w:val="18"/>
                <w:szCs w:val="18"/>
              </w:rPr>
              <w:t>4</w:t>
            </w:r>
          </w:p>
        </w:tc>
        <w:tc>
          <w:tcPr>
            <w:tcW w:w="1121" w:type="dxa"/>
            <w:tcBorders>
              <w:top w:val="nil"/>
              <w:bottom w:val="nil"/>
            </w:tcBorders>
            <w:vAlign w:val="center"/>
          </w:tcPr>
          <w:p w14:paraId="7FFB0177" w14:textId="561B0B5F" w:rsidR="007E554C" w:rsidRDefault="00140609" w:rsidP="0086528B">
            <w:pPr>
              <w:jc w:val="center"/>
              <w:rPr>
                <w:rFonts w:ascii="Arial" w:hAnsi="Arial" w:cs="Arial"/>
                <w:sz w:val="18"/>
                <w:szCs w:val="18"/>
              </w:rPr>
            </w:pPr>
            <w:r>
              <w:rPr>
                <w:rFonts w:ascii="Arial" w:hAnsi="Arial" w:cs="Arial"/>
                <w:sz w:val="18"/>
                <w:szCs w:val="18"/>
              </w:rPr>
              <w:t>7</w:t>
            </w:r>
          </w:p>
        </w:tc>
        <w:tc>
          <w:tcPr>
            <w:tcW w:w="1121" w:type="dxa"/>
            <w:tcBorders>
              <w:top w:val="nil"/>
              <w:bottom w:val="nil"/>
            </w:tcBorders>
            <w:vAlign w:val="center"/>
          </w:tcPr>
          <w:p w14:paraId="5B74362E" w14:textId="60F9BB64" w:rsidR="007E554C" w:rsidRDefault="00140609" w:rsidP="0086528B">
            <w:pPr>
              <w:jc w:val="center"/>
              <w:rPr>
                <w:rFonts w:ascii="Arial" w:hAnsi="Arial" w:cs="Arial"/>
                <w:sz w:val="18"/>
                <w:szCs w:val="18"/>
              </w:rPr>
            </w:pPr>
            <w:r>
              <w:rPr>
                <w:rFonts w:ascii="Arial" w:hAnsi="Arial" w:cs="Arial"/>
                <w:sz w:val="18"/>
                <w:szCs w:val="18"/>
              </w:rPr>
              <w:t>7</w:t>
            </w:r>
          </w:p>
        </w:tc>
      </w:tr>
      <w:tr w:rsidR="007E554C" w:rsidRPr="00A727C5" w14:paraId="221F9251" w14:textId="77777777" w:rsidTr="0086528B">
        <w:trPr>
          <w:trHeight w:val="351"/>
        </w:trPr>
        <w:tc>
          <w:tcPr>
            <w:tcW w:w="5474" w:type="dxa"/>
            <w:tcBorders>
              <w:top w:val="nil"/>
              <w:bottom w:val="nil"/>
            </w:tcBorders>
            <w:shd w:val="clear" w:color="auto" w:fill="auto"/>
            <w:noWrap/>
            <w:vAlign w:val="center"/>
          </w:tcPr>
          <w:p w14:paraId="42E0A76E" w14:textId="77777777" w:rsidR="007E554C" w:rsidRPr="00A727C5" w:rsidRDefault="007E554C" w:rsidP="0086528B">
            <w:pPr>
              <w:rPr>
                <w:rFonts w:ascii="Arial" w:hAnsi="Arial" w:cs="Arial"/>
                <w:sz w:val="18"/>
                <w:szCs w:val="18"/>
              </w:rPr>
            </w:pPr>
            <w:r w:rsidRPr="00A727C5">
              <w:rPr>
                <w:rFonts w:ascii="Arial" w:hAnsi="Arial" w:cs="Arial"/>
                <w:sz w:val="18"/>
                <w:szCs w:val="18"/>
              </w:rPr>
              <w:t xml:space="preserve">0 </w:t>
            </w:r>
            <w:proofErr w:type="spellStart"/>
            <w:r w:rsidRPr="00A727C5">
              <w:rPr>
                <w:rFonts w:ascii="Arial" w:hAnsi="Arial" w:cs="Arial"/>
                <w:sz w:val="18"/>
                <w:szCs w:val="18"/>
              </w:rPr>
              <w:t>Gy</w:t>
            </w:r>
            <w:proofErr w:type="spellEnd"/>
            <w:r w:rsidRPr="00A727C5">
              <w:rPr>
                <w:rFonts w:ascii="Arial" w:hAnsi="Arial" w:cs="Arial"/>
                <w:sz w:val="18"/>
                <w:szCs w:val="18"/>
              </w:rPr>
              <w:t xml:space="preserve"> L</w:t>
            </w:r>
            <w:r w:rsidRPr="00A727C5">
              <w:rPr>
                <w:rFonts w:ascii="Arial" w:hAnsi="Arial" w:cs="Arial"/>
                <w:sz w:val="18"/>
                <w:szCs w:val="18"/>
                <w:vertAlign w:val="subscript"/>
              </w:rPr>
              <w:t>x</w:t>
            </w:r>
            <w:r w:rsidRPr="00A727C5">
              <w:rPr>
                <w:rFonts w:ascii="Arial" w:hAnsi="Arial" w:cs="Arial"/>
                <w:sz w:val="18"/>
                <w:szCs w:val="18"/>
              </w:rPr>
              <w:t>/T</w:t>
            </w:r>
            <w:r w:rsidRPr="00A727C5">
              <w:rPr>
                <w:rFonts w:ascii="Arial" w:hAnsi="Arial" w:cs="Arial"/>
                <w:sz w:val="18"/>
                <w:szCs w:val="18"/>
                <w:vertAlign w:val="subscript"/>
              </w:rPr>
              <w:t>x</w:t>
            </w:r>
            <w:r w:rsidRPr="00A727C5">
              <w:rPr>
                <w:rFonts w:ascii="Arial" w:hAnsi="Arial" w:cs="Arial"/>
                <w:sz w:val="18"/>
                <w:szCs w:val="18"/>
              </w:rPr>
              <w:t xml:space="preserve"> &gt;5% L</w:t>
            </w:r>
            <w:r w:rsidRPr="00A727C5">
              <w:rPr>
                <w:rFonts w:ascii="Arial" w:hAnsi="Arial" w:cs="Arial"/>
                <w:sz w:val="18"/>
                <w:szCs w:val="18"/>
                <w:vertAlign w:val="subscript"/>
              </w:rPr>
              <w:t>n</w:t>
            </w:r>
            <w:r w:rsidRPr="00A727C5">
              <w:rPr>
                <w:rFonts w:ascii="Arial" w:hAnsi="Arial" w:cs="Arial"/>
                <w:sz w:val="18"/>
                <w:szCs w:val="18"/>
              </w:rPr>
              <w:t>/T</w:t>
            </w:r>
            <w:r w:rsidRPr="00A727C5">
              <w:rPr>
                <w:rFonts w:ascii="Arial" w:hAnsi="Arial" w:cs="Arial"/>
                <w:sz w:val="18"/>
                <w:szCs w:val="18"/>
                <w:vertAlign w:val="subscript"/>
              </w:rPr>
              <w:t>n</w:t>
            </w:r>
            <w:r w:rsidRPr="00A727C5">
              <w:rPr>
                <w:rFonts w:ascii="Arial" w:hAnsi="Arial" w:cs="Arial"/>
                <w:sz w:val="18"/>
                <w:szCs w:val="18"/>
              </w:rPr>
              <w:t> </w:t>
            </w:r>
          </w:p>
        </w:tc>
        <w:tc>
          <w:tcPr>
            <w:tcW w:w="1121" w:type="dxa"/>
            <w:tcBorders>
              <w:top w:val="nil"/>
              <w:bottom w:val="nil"/>
            </w:tcBorders>
            <w:vAlign w:val="center"/>
          </w:tcPr>
          <w:p w14:paraId="3F8403CC" w14:textId="6CB60B59" w:rsidR="007E554C" w:rsidRPr="00A727C5" w:rsidRDefault="008A7C5A" w:rsidP="0086528B">
            <w:pPr>
              <w:jc w:val="center"/>
              <w:rPr>
                <w:rFonts w:ascii="Arial" w:hAnsi="Arial" w:cs="Arial"/>
                <w:sz w:val="18"/>
                <w:szCs w:val="18"/>
              </w:rPr>
            </w:pPr>
            <w:r>
              <w:rPr>
                <w:rFonts w:ascii="Arial" w:hAnsi="Arial" w:cs="Arial"/>
                <w:sz w:val="18"/>
                <w:szCs w:val="18"/>
              </w:rPr>
              <w:t>&lt;1</w:t>
            </w:r>
          </w:p>
        </w:tc>
        <w:tc>
          <w:tcPr>
            <w:tcW w:w="1121" w:type="dxa"/>
            <w:tcBorders>
              <w:top w:val="nil"/>
              <w:bottom w:val="nil"/>
            </w:tcBorders>
            <w:shd w:val="clear" w:color="auto" w:fill="auto"/>
            <w:noWrap/>
            <w:vAlign w:val="center"/>
          </w:tcPr>
          <w:p w14:paraId="469284F9" w14:textId="4A82841D" w:rsidR="007E554C" w:rsidRPr="00A727C5" w:rsidRDefault="008A7C5A" w:rsidP="0086528B">
            <w:pPr>
              <w:jc w:val="center"/>
              <w:rPr>
                <w:rFonts w:ascii="Arial" w:hAnsi="Arial" w:cs="Arial"/>
                <w:sz w:val="18"/>
                <w:szCs w:val="18"/>
              </w:rPr>
            </w:pPr>
            <w:r>
              <w:rPr>
                <w:rFonts w:ascii="Arial" w:hAnsi="Arial" w:cs="Arial"/>
                <w:sz w:val="18"/>
                <w:szCs w:val="18"/>
              </w:rPr>
              <w:t>&lt;1</w:t>
            </w:r>
          </w:p>
        </w:tc>
        <w:tc>
          <w:tcPr>
            <w:tcW w:w="1121" w:type="dxa"/>
            <w:tcBorders>
              <w:top w:val="nil"/>
              <w:bottom w:val="nil"/>
            </w:tcBorders>
            <w:vAlign w:val="center"/>
          </w:tcPr>
          <w:p w14:paraId="7E041274" w14:textId="0CA85ED3" w:rsidR="007E554C" w:rsidRPr="00A727C5" w:rsidRDefault="00F104E7" w:rsidP="0086528B">
            <w:pPr>
              <w:jc w:val="center"/>
              <w:rPr>
                <w:rFonts w:ascii="Arial" w:hAnsi="Arial" w:cs="Arial"/>
                <w:sz w:val="18"/>
                <w:szCs w:val="18"/>
              </w:rPr>
            </w:pPr>
            <w:r>
              <w:rPr>
                <w:rFonts w:ascii="Arial" w:hAnsi="Arial" w:cs="Arial"/>
                <w:sz w:val="18"/>
                <w:szCs w:val="18"/>
              </w:rPr>
              <w:t>&lt;1</w:t>
            </w:r>
          </w:p>
        </w:tc>
        <w:tc>
          <w:tcPr>
            <w:tcW w:w="1121" w:type="dxa"/>
            <w:tcBorders>
              <w:top w:val="nil"/>
              <w:bottom w:val="nil"/>
            </w:tcBorders>
            <w:vAlign w:val="center"/>
          </w:tcPr>
          <w:p w14:paraId="7D44EFB6" w14:textId="1F880832" w:rsidR="007E554C" w:rsidRDefault="00F104E7" w:rsidP="0086528B">
            <w:pPr>
              <w:jc w:val="center"/>
              <w:rPr>
                <w:rFonts w:ascii="Arial" w:hAnsi="Arial" w:cs="Arial"/>
                <w:sz w:val="18"/>
                <w:szCs w:val="18"/>
              </w:rPr>
            </w:pPr>
            <w:r>
              <w:rPr>
                <w:rFonts w:ascii="Arial" w:hAnsi="Arial" w:cs="Arial"/>
                <w:sz w:val="18"/>
                <w:szCs w:val="18"/>
              </w:rPr>
              <w:t>&lt;1</w:t>
            </w:r>
          </w:p>
        </w:tc>
        <w:tc>
          <w:tcPr>
            <w:tcW w:w="1121" w:type="dxa"/>
            <w:tcBorders>
              <w:top w:val="nil"/>
              <w:bottom w:val="nil"/>
            </w:tcBorders>
            <w:vAlign w:val="center"/>
          </w:tcPr>
          <w:p w14:paraId="58AD17D2" w14:textId="21A8BC97" w:rsidR="007E554C" w:rsidRDefault="00140609" w:rsidP="0086528B">
            <w:pPr>
              <w:jc w:val="center"/>
              <w:rPr>
                <w:rFonts w:ascii="Arial" w:hAnsi="Arial" w:cs="Arial"/>
                <w:sz w:val="18"/>
                <w:szCs w:val="18"/>
              </w:rPr>
            </w:pPr>
            <w:r>
              <w:rPr>
                <w:rFonts w:ascii="Arial" w:hAnsi="Arial" w:cs="Arial"/>
                <w:sz w:val="18"/>
                <w:szCs w:val="18"/>
              </w:rPr>
              <w:t>&lt;1</w:t>
            </w:r>
          </w:p>
        </w:tc>
        <w:tc>
          <w:tcPr>
            <w:tcW w:w="1121" w:type="dxa"/>
            <w:tcBorders>
              <w:top w:val="nil"/>
              <w:bottom w:val="nil"/>
            </w:tcBorders>
            <w:vAlign w:val="center"/>
          </w:tcPr>
          <w:p w14:paraId="0377B320" w14:textId="551A1952" w:rsidR="007E554C" w:rsidRDefault="00140609" w:rsidP="0086528B">
            <w:pPr>
              <w:jc w:val="center"/>
              <w:rPr>
                <w:rFonts w:ascii="Arial" w:hAnsi="Arial" w:cs="Arial"/>
                <w:sz w:val="18"/>
                <w:szCs w:val="18"/>
              </w:rPr>
            </w:pPr>
            <w:r>
              <w:rPr>
                <w:rFonts w:ascii="Arial" w:hAnsi="Arial" w:cs="Arial"/>
                <w:sz w:val="18"/>
                <w:szCs w:val="18"/>
              </w:rPr>
              <w:t>&lt;1</w:t>
            </w:r>
          </w:p>
        </w:tc>
      </w:tr>
      <w:tr w:rsidR="007E554C" w:rsidRPr="00A727C5" w14:paraId="4BD2BBF8" w14:textId="77777777" w:rsidTr="0086528B">
        <w:trPr>
          <w:trHeight w:val="351"/>
        </w:trPr>
        <w:tc>
          <w:tcPr>
            <w:tcW w:w="5474" w:type="dxa"/>
            <w:tcBorders>
              <w:top w:val="nil"/>
              <w:bottom w:val="nil"/>
            </w:tcBorders>
            <w:shd w:val="clear" w:color="auto" w:fill="auto"/>
            <w:noWrap/>
            <w:vAlign w:val="center"/>
          </w:tcPr>
          <w:p w14:paraId="303CF00A" w14:textId="77777777" w:rsidR="007E554C" w:rsidRPr="00A727C5" w:rsidRDefault="007E554C" w:rsidP="0086528B">
            <w:pPr>
              <w:rPr>
                <w:rFonts w:ascii="Arial" w:hAnsi="Arial" w:cs="Arial"/>
                <w:sz w:val="18"/>
                <w:szCs w:val="18"/>
              </w:rPr>
            </w:pPr>
            <w:r w:rsidRPr="00A727C5">
              <w:rPr>
                <w:rFonts w:ascii="Arial" w:hAnsi="Arial" w:cs="Arial"/>
                <w:sz w:val="18"/>
                <w:szCs w:val="18"/>
              </w:rPr>
              <w:t>Non-intersecting grains (L</w:t>
            </w:r>
            <w:r w:rsidRPr="00A727C5">
              <w:rPr>
                <w:rFonts w:ascii="Arial" w:hAnsi="Arial" w:cs="Arial"/>
                <w:sz w:val="18"/>
                <w:szCs w:val="18"/>
                <w:vertAlign w:val="subscript"/>
              </w:rPr>
              <w:t>n</w:t>
            </w:r>
            <w:r w:rsidRPr="00A727C5">
              <w:rPr>
                <w:rFonts w:ascii="Arial" w:hAnsi="Arial" w:cs="Arial"/>
                <w:sz w:val="18"/>
                <w:szCs w:val="18"/>
              </w:rPr>
              <w:t>/T</w:t>
            </w:r>
            <w:r w:rsidRPr="00A727C5">
              <w:rPr>
                <w:rFonts w:ascii="Arial" w:hAnsi="Arial" w:cs="Arial"/>
                <w:sz w:val="18"/>
                <w:szCs w:val="18"/>
                <w:vertAlign w:val="subscript"/>
              </w:rPr>
              <w:t>n</w:t>
            </w:r>
            <w:r w:rsidRPr="00A727C5">
              <w:rPr>
                <w:rFonts w:ascii="Arial" w:hAnsi="Arial" w:cs="Arial"/>
                <w:sz w:val="18"/>
                <w:szCs w:val="18"/>
              </w:rPr>
              <w:t xml:space="preserve"> &gt; dose response curve saturation)</w:t>
            </w:r>
          </w:p>
        </w:tc>
        <w:tc>
          <w:tcPr>
            <w:tcW w:w="1121" w:type="dxa"/>
            <w:tcBorders>
              <w:top w:val="nil"/>
              <w:bottom w:val="nil"/>
            </w:tcBorders>
            <w:vAlign w:val="center"/>
          </w:tcPr>
          <w:p w14:paraId="2CD17578" w14:textId="530EC8CF" w:rsidR="007E554C" w:rsidRPr="00A727C5" w:rsidRDefault="008A7C5A" w:rsidP="0086528B">
            <w:pPr>
              <w:jc w:val="center"/>
              <w:rPr>
                <w:rFonts w:ascii="Arial" w:hAnsi="Arial" w:cs="Arial"/>
                <w:sz w:val="18"/>
                <w:szCs w:val="18"/>
              </w:rPr>
            </w:pPr>
            <w:r>
              <w:rPr>
                <w:rFonts w:ascii="Arial" w:hAnsi="Arial" w:cs="Arial"/>
                <w:sz w:val="18"/>
                <w:szCs w:val="18"/>
              </w:rPr>
              <w:t>2</w:t>
            </w:r>
          </w:p>
        </w:tc>
        <w:tc>
          <w:tcPr>
            <w:tcW w:w="1121" w:type="dxa"/>
            <w:tcBorders>
              <w:top w:val="nil"/>
              <w:bottom w:val="nil"/>
            </w:tcBorders>
            <w:shd w:val="clear" w:color="auto" w:fill="auto"/>
            <w:noWrap/>
            <w:vAlign w:val="center"/>
          </w:tcPr>
          <w:p w14:paraId="7A943B28" w14:textId="1710D1CB" w:rsidR="007E554C" w:rsidRPr="00A727C5" w:rsidRDefault="008A7C5A" w:rsidP="0086528B">
            <w:pPr>
              <w:jc w:val="center"/>
              <w:rPr>
                <w:rFonts w:ascii="Arial" w:hAnsi="Arial" w:cs="Arial"/>
                <w:sz w:val="18"/>
                <w:szCs w:val="18"/>
              </w:rPr>
            </w:pPr>
            <w:r>
              <w:rPr>
                <w:rFonts w:ascii="Arial" w:hAnsi="Arial" w:cs="Arial"/>
                <w:sz w:val="18"/>
                <w:szCs w:val="18"/>
              </w:rPr>
              <w:t>2</w:t>
            </w:r>
          </w:p>
        </w:tc>
        <w:tc>
          <w:tcPr>
            <w:tcW w:w="1121" w:type="dxa"/>
            <w:tcBorders>
              <w:top w:val="nil"/>
              <w:bottom w:val="nil"/>
            </w:tcBorders>
            <w:vAlign w:val="center"/>
          </w:tcPr>
          <w:p w14:paraId="23AE6113" w14:textId="38DF75EC" w:rsidR="007E554C" w:rsidRPr="00A727C5" w:rsidRDefault="00F104E7" w:rsidP="0086528B">
            <w:pPr>
              <w:jc w:val="center"/>
              <w:rPr>
                <w:rFonts w:ascii="Arial" w:hAnsi="Arial" w:cs="Arial"/>
                <w:sz w:val="18"/>
                <w:szCs w:val="18"/>
              </w:rPr>
            </w:pPr>
            <w:r>
              <w:rPr>
                <w:rFonts w:ascii="Arial" w:hAnsi="Arial" w:cs="Arial"/>
                <w:sz w:val="18"/>
                <w:szCs w:val="18"/>
              </w:rPr>
              <w:t>2</w:t>
            </w:r>
          </w:p>
        </w:tc>
        <w:tc>
          <w:tcPr>
            <w:tcW w:w="1121" w:type="dxa"/>
            <w:tcBorders>
              <w:top w:val="nil"/>
              <w:bottom w:val="nil"/>
            </w:tcBorders>
            <w:vAlign w:val="center"/>
          </w:tcPr>
          <w:p w14:paraId="73CECCF9" w14:textId="4C399148" w:rsidR="007E554C" w:rsidRDefault="00F104E7" w:rsidP="0086528B">
            <w:pPr>
              <w:jc w:val="center"/>
              <w:rPr>
                <w:rFonts w:ascii="Arial" w:hAnsi="Arial" w:cs="Arial"/>
                <w:sz w:val="18"/>
                <w:szCs w:val="18"/>
              </w:rPr>
            </w:pPr>
            <w:r>
              <w:rPr>
                <w:rFonts w:ascii="Arial" w:hAnsi="Arial" w:cs="Arial"/>
                <w:sz w:val="18"/>
                <w:szCs w:val="18"/>
              </w:rPr>
              <w:t>0</w:t>
            </w:r>
          </w:p>
        </w:tc>
        <w:tc>
          <w:tcPr>
            <w:tcW w:w="1121" w:type="dxa"/>
            <w:tcBorders>
              <w:top w:val="nil"/>
              <w:bottom w:val="nil"/>
            </w:tcBorders>
            <w:vAlign w:val="center"/>
          </w:tcPr>
          <w:p w14:paraId="5F9A59B3" w14:textId="5AB6D318" w:rsidR="007E554C" w:rsidRDefault="00140609" w:rsidP="0086528B">
            <w:pPr>
              <w:jc w:val="center"/>
              <w:rPr>
                <w:rFonts w:ascii="Arial" w:hAnsi="Arial" w:cs="Arial"/>
                <w:sz w:val="18"/>
                <w:szCs w:val="18"/>
              </w:rPr>
            </w:pPr>
            <w:r>
              <w:rPr>
                <w:rFonts w:ascii="Arial" w:hAnsi="Arial" w:cs="Arial"/>
                <w:sz w:val="18"/>
                <w:szCs w:val="18"/>
              </w:rPr>
              <w:t>2</w:t>
            </w:r>
          </w:p>
        </w:tc>
        <w:tc>
          <w:tcPr>
            <w:tcW w:w="1121" w:type="dxa"/>
            <w:tcBorders>
              <w:top w:val="nil"/>
              <w:bottom w:val="nil"/>
            </w:tcBorders>
            <w:vAlign w:val="center"/>
          </w:tcPr>
          <w:p w14:paraId="3F7021F0" w14:textId="58B6D6FE" w:rsidR="007E554C" w:rsidRDefault="00140609" w:rsidP="0086528B">
            <w:pPr>
              <w:jc w:val="center"/>
              <w:rPr>
                <w:rFonts w:ascii="Arial" w:hAnsi="Arial" w:cs="Arial"/>
                <w:sz w:val="18"/>
                <w:szCs w:val="18"/>
              </w:rPr>
            </w:pPr>
            <w:r>
              <w:rPr>
                <w:rFonts w:ascii="Arial" w:hAnsi="Arial" w:cs="Arial"/>
                <w:sz w:val="18"/>
                <w:szCs w:val="18"/>
              </w:rPr>
              <w:t>3</w:t>
            </w:r>
          </w:p>
        </w:tc>
      </w:tr>
      <w:tr w:rsidR="007E554C" w:rsidRPr="00A727C5" w14:paraId="056EE98E" w14:textId="77777777" w:rsidTr="0086528B">
        <w:trPr>
          <w:trHeight w:val="351"/>
        </w:trPr>
        <w:tc>
          <w:tcPr>
            <w:tcW w:w="5474" w:type="dxa"/>
            <w:tcBorders>
              <w:top w:val="nil"/>
              <w:bottom w:val="nil"/>
            </w:tcBorders>
            <w:shd w:val="clear" w:color="auto" w:fill="auto"/>
            <w:noWrap/>
            <w:vAlign w:val="center"/>
          </w:tcPr>
          <w:p w14:paraId="6E81F361" w14:textId="77777777" w:rsidR="007E554C" w:rsidRPr="00A727C5" w:rsidRDefault="007E554C" w:rsidP="0086528B">
            <w:pPr>
              <w:rPr>
                <w:rFonts w:ascii="Arial" w:hAnsi="Arial" w:cs="Arial"/>
                <w:sz w:val="18"/>
                <w:szCs w:val="18"/>
              </w:rPr>
            </w:pPr>
            <w:r w:rsidRPr="00A727C5">
              <w:rPr>
                <w:rFonts w:ascii="Arial" w:hAnsi="Arial" w:cs="Arial"/>
                <w:sz w:val="18"/>
                <w:szCs w:val="18"/>
              </w:rPr>
              <w:t>Saturated grains (L</w:t>
            </w:r>
            <w:r w:rsidRPr="00A727C5">
              <w:rPr>
                <w:rFonts w:ascii="Arial" w:hAnsi="Arial" w:cs="Arial"/>
                <w:sz w:val="18"/>
                <w:szCs w:val="18"/>
                <w:vertAlign w:val="subscript"/>
              </w:rPr>
              <w:t>n</w:t>
            </w:r>
            <w:r w:rsidRPr="00A727C5">
              <w:rPr>
                <w:rFonts w:ascii="Arial" w:hAnsi="Arial" w:cs="Arial"/>
                <w:sz w:val="18"/>
                <w:szCs w:val="18"/>
              </w:rPr>
              <w:t>/T</w:t>
            </w:r>
            <w:r w:rsidRPr="00A727C5">
              <w:rPr>
                <w:rFonts w:ascii="Arial" w:hAnsi="Arial" w:cs="Arial"/>
                <w:sz w:val="18"/>
                <w:szCs w:val="18"/>
                <w:vertAlign w:val="subscript"/>
              </w:rPr>
              <w:t>n</w:t>
            </w:r>
            <w:r w:rsidRPr="00A727C5">
              <w:rPr>
                <w:rFonts w:ascii="Arial" w:hAnsi="Arial" w:cs="Arial"/>
                <w:sz w:val="18"/>
                <w:szCs w:val="18"/>
              </w:rPr>
              <w:t xml:space="preserve"> </w:t>
            </w:r>
            <w:r w:rsidRPr="00A727C5">
              <w:rPr>
                <w:rFonts w:ascii="Arial" w:hAnsi="Arial" w:cs="Arial" w:hint="cs"/>
                <w:sz w:val="18"/>
                <w:szCs w:val="18"/>
              </w:rPr>
              <w:t>≥</w:t>
            </w:r>
            <w:r w:rsidRPr="00A727C5">
              <w:rPr>
                <w:rFonts w:ascii="Arial" w:hAnsi="Arial" w:cs="Arial"/>
                <w:sz w:val="18"/>
                <w:szCs w:val="18"/>
              </w:rPr>
              <w:t xml:space="preserve"> dose response curve </w:t>
            </w:r>
            <w:r w:rsidRPr="00A727C5">
              <w:rPr>
                <w:rFonts w:ascii="Arial" w:hAnsi="Arial" w:cs="Arial"/>
                <w:i/>
                <w:sz w:val="18"/>
                <w:szCs w:val="18"/>
              </w:rPr>
              <w:t>I</w:t>
            </w:r>
            <w:r w:rsidRPr="00A727C5">
              <w:rPr>
                <w:rFonts w:ascii="Arial" w:hAnsi="Arial" w:cs="Arial"/>
                <w:i/>
                <w:sz w:val="18"/>
                <w:szCs w:val="18"/>
                <w:vertAlign w:val="subscript"/>
              </w:rPr>
              <w:t>max</w:t>
            </w:r>
            <w:r w:rsidRPr="00A727C5">
              <w:rPr>
                <w:rFonts w:ascii="Arial" w:hAnsi="Arial" w:cs="Arial"/>
                <w:sz w:val="18"/>
                <w:szCs w:val="18"/>
              </w:rPr>
              <w:t xml:space="preserve"> at ±2σ)</w:t>
            </w:r>
          </w:p>
        </w:tc>
        <w:tc>
          <w:tcPr>
            <w:tcW w:w="1121" w:type="dxa"/>
            <w:tcBorders>
              <w:top w:val="nil"/>
              <w:bottom w:val="nil"/>
            </w:tcBorders>
            <w:vAlign w:val="center"/>
          </w:tcPr>
          <w:p w14:paraId="0A62CBB9" w14:textId="20807F1D" w:rsidR="007E554C" w:rsidRPr="00A727C5" w:rsidRDefault="008A7C5A" w:rsidP="0086528B">
            <w:pPr>
              <w:jc w:val="center"/>
              <w:rPr>
                <w:rFonts w:ascii="Arial" w:hAnsi="Arial" w:cs="Arial"/>
                <w:sz w:val="18"/>
                <w:szCs w:val="18"/>
              </w:rPr>
            </w:pPr>
            <w:r>
              <w:rPr>
                <w:rFonts w:ascii="Arial" w:hAnsi="Arial" w:cs="Arial"/>
                <w:sz w:val="18"/>
                <w:szCs w:val="18"/>
              </w:rPr>
              <w:t>2</w:t>
            </w:r>
          </w:p>
        </w:tc>
        <w:tc>
          <w:tcPr>
            <w:tcW w:w="1121" w:type="dxa"/>
            <w:tcBorders>
              <w:top w:val="nil"/>
              <w:bottom w:val="nil"/>
            </w:tcBorders>
            <w:shd w:val="clear" w:color="auto" w:fill="auto"/>
            <w:noWrap/>
            <w:vAlign w:val="center"/>
          </w:tcPr>
          <w:p w14:paraId="0B2E38E0" w14:textId="44499A6D" w:rsidR="007E554C" w:rsidRPr="00A727C5" w:rsidRDefault="008A7C5A" w:rsidP="0086528B">
            <w:pPr>
              <w:jc w:val="center"/>
              <w:rPr>
                <w:rFonts w:ascii="Arial" w:hAnsi="Arial" w:cs="Arial"/>
                <w:sz w:val="18"/>
                <w:szCs w:val="18"/>
              </w:rPr>
            </w:pPr>
            <w:r>
              <w:rPr>
                <w:rFonts w:ascii="Arial" w:hAnsi="Arial" w:cs="Arial"/>
                <w:sz w:val="18"/>
                <w:szCs w:val="18"/>
              </w:rPr>
              <w:t>3</w:t>
            </w:r>
          </w:p>
        </w:tc>
        <w:tc>
          <w:tcPr>
            <w:tcW w:w="1121" w:type="dxa"/>
            <w:tcBorders>
              <w:top w:val="nil"/>
              <w:bottom w:val="nil"/>
            </w:tcBorders>
            <w:vAlign w:val="center"/>
          </w:tcPr>
          <w:p w14:paraId="0748937D" w14:textId="35823F90" w:rsidR="007E554C" w:rsidRPr="00A727C5" w:rsidRDefault="00F104E7" w:rsidP="0086528B">
            <w:pPr>
              <w:jc w:val="center"/>
              <w:rPr>
                <w:rFonts w:ascii="Arial" w:hAnsi="Arial" w:cs="Arial"/>
                <w:sz w:val="18"/>
                <w:szCs w:val="18"/>
              </w:rPr>
            </w:pPr>
            <w:r>
              <w:rPr>
                <w:rFonts w:ascii="Arial" w:hAnsi="Arial" w:cs="Arial"/>
                <w:sz w:val="18"/>
                <w:szCs w:val="18"/>
              </w:rPr>
              <w:t>2</w:t>
            </w:r>
          </w:p>
        </w:tc>
        <w:tc>
          <w:tcPr>
            <w:tcW w:w="1121" w:type="dxa"/>
            <w:tcBorders>
              <w:top w:val="nil"/>
              <w:bottom w:val="nil"/>
            </w:tcBorders>
            <w:vAlign w:val="center"/>
          </w:tcPr>
          <w:p w14:paraId="064ED909" w14:textId="2A02E02F" w:rsidR="007E554C" w:rsidRDefault="00F104E7" w:rsidP="0086528B">
            <w:pPr>
              <w:jc w:val="center"/>
              <w:rPr>
                <w:rFonts w:ascii="Arial" w:hAnsi="Arial" w:cs="Arial"/>
                <w:sz w:val="18"/>
                <w:szCs w:val="18"/>
              </w:rPr>
            </w:pPr>
            <w:r>
              <w:rPr>
                <w:rFonts w:ascii="Arial" w:hAnsi="Arial" w:cs="Arial"/>
                <w:sz w:val="18"/>
                <w:szCs w:val="18"/>
              </w:rPr>
              <w:t>1</w:t>
            </w:r>
          </w:p>
        </w:tc>
        <w:tc>
          <w:tcPr>
            <w:tcW w:w="1121" w:type="dxa"/>
            <w:tcBorders>
              <w:top w:val="nil"/>
              <w:bottom w:val="nil"/>
            </w:tcBorders>
            <w:vAlign w:val="center"/>
          </w:tcPr>
          <w:p w14:paraId="19E8F1B5" w14:textId="2A3FE217" w:rsidR="007E554C" w:rsidRDefault="00140609" w:rsidP="0086528B">
            <w:pPr>
              <w:jc w:val="center"/>
              <w:rPr>
                <w:rFonts w:ascii="Arial" w:hAnsi="Arial" w:cs="Arial"/>
                <w:sz w:val="18"/>
                <w:szCs w:val="18"/>
              </w:rPr>
            </w:pPr>
            <w:r>
              <w:rPr>
                <w:rFonts w:ascii="Arial" w:hAnsi="Arial" w:cs="Arial"/>
                <w:sz w:val="18"/>
                <w:szCs w:val="18"/>
              </w:rPr>
              <w:t>3</w:t>
            </w:r>
          </w:p>
        </w:tc>
        <w:tc>
          <w:tcPr>
            <w:tcW w:w="1121" w:type="dxa"/>
            <w:tcBorders>
              <w:top w:val="nil"/>
              <w:bottom w:val="nil"/>
            </w:tcBorders>
            <w:vAlign w:val="center"/>
          </w:tcPr>
          <w:p w14:paraId="188D7284" w14:textId="139C7575" w:rsidR="007E554C" w:rsidRDefault="00140609" w:rsidP="0086528B">
            <w:pPr>
              <w:jc w:val="center"/>
              <w:rPr>
                <w:rFonts w:ascii="Arial" w:hAnsi="Arial" w:cs="Arial"/>
                <w:sz w:val="18"/>
                <w:szCs w:val="18"/>
              </w:rPr>
            </w:pPr>
            <w:r>
              <w:rPr>
                <w:rFonts w:ascii="Arial" w:hAnsi="Arial" w:cs="Arial"/>
                <w:sz w:val="18"/>
                <w:szCs w:val="18"/>
              </w:rPr>
              <w:t>3</w:t>
            </w:r>
          </w:p>
        </w:tc>
      </w:tr>
      <w:tr w:rsidR="007E554C" w:rsidRPr="00A727C5" w14:paraId="423214DB" w14:textId="77777777" w:rsidTr="0086528B">
        <w:trPr>
          <w:trHeight w:val="351"/>
        </w:trPr>
        <w:tc>
          <w:tcPr>
            <w:tcW w:w="5474" w:type="dxa"/>
            <w:tcBorders>
              <w:top w:val="nil"/>
              <w:bottom w:val="nil"/>
            </w:tcBorders>
            <w:shd w:val="clear" w:color="auto" w:fill="auto"/>
            <w:noWrap/>
            <w:vAlign w:val="center"/>
          </w:tcPr>
          <w:p w14:paraId="0B029786" w14:textId="77777777" w:rsidR="007E554C" w:rsidRPr="00A727C5" w:rsidRDefault="007E554C" w:rsidP="0086528B">
            <w:pPr>
              <w:rPr>
                <w:rFonts w:ascii="Arial" w:hAnsi="Arial" w:cs="Arial"/>
                <w:sz w:val="18"/>
                <w:szCs w:val="18"/>
              </w:rPr>
            </w:pPr>
            <w:r>
              <w:rPr>
                <w:rFonts w:ascii="Arial" w:hAnsi="Arial" w:cs="Arial"/>
                <w:sz w:val="18"/>
                <w:szCs w:val="18"/>
              </w:rPr>
              <w:t xml:space="preserve">Extrapolated grains </w:t>
            </w:r>
            <w:proofErr w:type="gramStart"/>
            <w:r>
              <w:rPr>
                <w:rFonts w:ascii="Arial" w:hAnsi="Arial" w:cs="Arial"/>
                <w:sz w:val="18"/>
                <w:szCs w:val="18"/>
              </w:rPr>
              <w:t>(</w:t>
            </w:r>
            <w:r w:rsidRPr="007F42FB">
              <w:rPr>
                <w:rFonts w:ascii="Arial" w:hAnsi="Arial" w:cs="Arial"/>
                <w:sz w:val="16"/>
                <w:szCs w:val="16"/>
              </w:rPr>
              <w:t xml:space="preserve"> </w:t>
            </w:r>
            <w:r w:rsidRPr="007F42FB">
              <w:rPr>
                <w:rFonts w:ascii="Arial" w:hAnsi="Arial" w:cs="Arial"/>
                <w:sz w:val="18"/>
                <w:szCs w:val="18"/>
              </w:rPr>
              <w:t>L</w:t>
            </w:r>
            <w:r w:rsidRPr="007F42FB">
              <w:rPr>
                <w:rFonts w:ascii="Arial" w:hAnsi="Arial" w:cs="Arial"/>
                <w:sz w:val="18"/>
                <w:szCs w:val="18"/>
                <w:vertAlign w:val="subscript"/>
              </w:rPr>
              <w:t>n</w:t>
            </w:r>
            <w:proofErr w:type="gramEnd"/>
            <w:r w:rsidRPr="007F42FB">
              <w:rPr>
                <w:rFonts w:ascii="Arial" w:hAnsi="Arial" w:cs="Arial"/>
                <w:sz w:val="18"/>
                <w:szCs w:val="18"/>
              </w:rPr>
              <w:t>/T</w:t>
            </w:r>
            <w:r w:rsidRPr="007F42FB">
              <w:rPr>
                <w:rFonts w:ascii="Arial" w:hAnsi="Arial" w:cs="Arial"/>
                <w:sz w:val="18"/>
                <w:szCs w:val="18"/>
                <w:vertAlign w:val="subscript"/>
              </w:rPr>
              <w:t>n</w:t>
            </w:r>
            <w:r w:rsidRPr="007F42FB">
              <w:rPr>
                <w:rFonts w:ascii="Arial" w:hAnsi="Arial" w:cs="Arial"/>
                <w:sz w:val="18"/>
                <w:szCs w:val="18"/>
              </w:rPr>
              <w:t xml:space="preserve"> values </w:t>
            </w:r>
            <w:r>
              <w:rPr>
                <w:rFonts w:ascii="Arial" w:hAnsi="Arial" w:cs="Arial"/>
                <w:sz w:val="18"/>
                <w:szCs w:val="18"/>
              </w:rPr>
              <w:t>&gt;</w:t>
            </w:r>
            <w:r w:rsidRPr="007F42FB">
              <w:rPr>
                <w:rFonts w:ascii="Arial" w:hAnsi="Arial" w:cs="Arial"/>
                <w:sz w:val="18"/>
                <w:szCs w:val="18"/>
              </w:rPr>
              <w:t xml:space="preserve">2σ beyond </w:t>
            </w:r>
            <w:r>
              <w:rPr>
                <w:rFonts w:ascii="Arial" w:hAnsi="Arial" w:cs="Arial"/>
                <w:sz w:val="18"/>
                <w:szCs w:val="18"/>
              </w:rPr>
              <w:t xml:space="preserve">largest </w:t>
            </w:r>
            <w:r w:rsidRPr="007F42FB">
              <w:rPr>
                <w:rFonts w:ascii="Arial" w:hAnsi="Arial" w:cs="Arial"/>
                <w:sz w:val="18"/>
                <w:szCs w:val="18"/>
              </w:rPr>
              <w:t>L</w:t>
            </w:r>
            <w:r w:rsidRPr="007F42FB">
              <w:rPr>
                <w:rFonts w:ascii="Arial" w:hAnsi="Arial" w:cs="Arial"/>
                <w:sz w:val="18"/>
                <w:szCs w:val="18"/>
                <w:vertAlign w:val="subscript"/>
              </w:rPr>
              <w:t>x</w:t>
            </w:r>
            <w:r w:rsidRPr="007F42FB">
              <w:rPr>
                <w:rFonts w:ascii="Arial" w:hAnsi="Arial" w:cs="Arial"/>
                <w:sz w:val="18"/>
                <w:szCs w:val="18"/>
              </w:rPr>
              <w:t>/T</w:t>
            </w:r>
            <w:r w:rsidRPr="007F42FB">
              <w:rPr>
                <w:rFonts w:ascii="Arial" w:hAnsi="Arial" w:cs="Arial"/>
                <w:sz w:val="18"/>
                <w:szCs w:val="18"/>
                <w:vertAlign w:val="subscript"/>
              </w:rPr>
              <w:t>x</w:t>
            </w:r>
            <w:r w:rsidRPr="007F42FB">
              <w:rPr>
                <w:rFonts w:ascii="Arial" w:hAnsi="Arial" w:cs="Arial"/>
                <w:sz w:val="18"/>
                <w:szCs w:val="18"/>
              </w:rPr>
              <w:t xml:space="preserve"> value</w:t>
            </w:r>
            <w:r>
              <w:rPr>
                <w:rFonts w:ascii="Arial" w:hAnsi="Arial" w:cs="Arial"/>
                <w:sz w:val="18"/>
                <w:szCs w:val="18"/>
              </w:rPr>
              <w:t>)</w:t>
            </w:r>
          </w:p>
        </w:tc>
        <w:tc>
          <w:tcPr>
            <w:tcW w:w="1121" w:type="dxa"/>
            <w:tcBorders>
              <w:top w:val="nil"/>
              <w:bottom w:val="nil"/>
            </w:tcBorders>
            <w:vAlign w:val="center"/>
          </w:tcPr>
          <w:p w14:paraId="7D7BA639" w14:textId="10F17429" w:rsidR="007E554C" w:rsidRPr="00A727C5" w:rsidRDefault="008A7C5A" w:rsidP="0086528B">
            <w:pPr>
              <w:jc w:val="center"/>
              <w:rPr>
                <w:rFonts w:ascii="Arial" w:hAnsi="Arial" w:cs="Arial"/>
                <w:sz w:val="18"/>
                <w:szCs w:val="18"/>
              </w:rPr>
            </w:pPr>
            <w:r>
              <w:rPr>
                <w:rFonts w:ascii="Arial" w:hAnsi="Arial" w:cs="Arial"/>
                <w:sz w:val="18"/>
                <w:szCs w:val="18"/>
              </w:rPr>
              <w:t>0</w:t>
            </w:r>
          </w:p>
        </w:tc>
        <w:tc>
          <w:tcPr>
            <w:tcW w:w="1121" w:type="dxa"/>
            <w:tcBorders>
              <w:top w:val="nil"/>
              <w:bottom w:val="nil"/>
            </w:tcBorders>
            <w:shd w:val="clear" w:color="auto" w:fill="auto"/>
            <w:noWrap/>
            <w:vAlign w:val="center"/>
          </w:tcPr>
          <w:p w14:paraId="0BA4E1E7" w14:textId="0C0270CC" w:rsidR="007E554C" w:rsidRPr="00A727C5" w:rsidRDefault="008A7C5A" w:rsidP="0086528B">
            <w:pPr>
              <w:jc w:val="center"/>
              <w:rPr>
                <w:rFonts w:ascii="Arial" w:hAnsi="Arial" w:cs="Arial"/>
                <w:sz w:val="18"/>
                <w:szCs w:val="18"/>
              </w:rPr>
            </w:pPr>
            <w:r>
              <w:rPr>
                <w:rFonts w:ascii="Arial" w:hAnsi="Arial" w:cs="Arial"/>
                <w:sz w:val="18"/>
                <w:szCs w:val="18"/>
              </w:rPr>
              <w:t>&lt;1</w:t>
            </w:r>
          </w:p>
        </w:tc>
        <w:tc>
          <w:tcPr>
            <w:tcW w:w="1121" w:type="dxa"/>
            <w:tcBorders>
              <w:top w:val="nil"/>
              <w:bottom w:val="nil"/>
            </w:tcBorders>
            <w:vAlign w:val="center"/>
          </w:tcPr>
          <w:p w14:paraId="4F7B24DF" w14:textId="5CC2E2E0" w:rsidR="007E554C" w:rsidRPr="00A727C5" w:rsidRDefault="00F104E7" w:rsidP="0086528B">
            <w:pPr>
              <w:jc w:val="center"/>
              <w:rPr>
                <w:rFonts w:ascii="Arial" w:hAnsi="Arial" w:cs="Arial"/>
                <w:sz w:val="18"/>
                <w:szCs w:val="18"/>
              </w:rPr>
            </w:pPr>
            <w:r>
              <w:rPr>
                <w:rFonts w:ascii="Arial" w:hAnsi="Arial" w:cs="Arial"/>
                <w:sz w:val="18"/>
                <w:szCs w:val="18"/>
              </w:rPr>
              <w:t>&lt;1</w:t>
            </w:r>
          </w:p>
        </w:tc>
        <w:tc>
          <w:tcPr>
            <w:tcW w:w="1121" w:type="dxa"/>
            <w:tcBorders>
              <w:top w:val="nil"/>
              <w:bottom w:val="nil"/>
            </w:tcBorders>
            <w:vAlign w:val="center"/>
          </w:tcPr>
          <w:p w14:paraId="42426391" w14:textId="7F34786D" w:rsidR="007E554C" w:rsidRDefault="00F104E7" w:rsidP="0086528B">
            <w:pPr>
              <w:jc w:val="center"/>
              <w:rPr>
                <w:rFonts w:ascii="Arial" w:hAnsi="Arial" w:cs="Arial"/>
                <w:sz w:val="18"/>
                <w:szCs w:val="18"/>
              </w:rPr>
            </w:pPr>
            <w:r>
              <w:rPr>
                <w:rFonts w:ascii="Arial" w:hAnsi="Arial" w:cs="Arial"/>
                <w:sz w:val="18"/>
                <w:szCs w:val="18"/>
              </w:rPr>
              <w:t>0</w:t>
            </w:r>
          </w:p>
        </w:tc>
        <w:tc>
          <w:tcPr>
            <w:tcW w:w="1121" w:type="dxa"/>
            <w:tcBorders>
              <w:top w:val="nil"/>
              <w:bottom w:val="nil"/>
            </w:tcBorders>
            <w:vAlign w:val="center"/>
          </w:tcPr>
          <w:p w14:paraId="07F28261" w14:textId="0F67F6DA" w:rsidR="007E554C" w:rsidRDefault="00140609" w:rsidP="0086528B">
            <w:pPr>
              <w:jc w:val="center"/>
              <w:rPr>
                <w:rFonts w:ascii="Arial" w:hAnsi="Arial" w:cs="Arial"/>
                <w:sz w:val="18"/>
                <w:szCs w:val="18"/>
              </w:rPr>
            </w:pPr>
            <w:r>
              <w:rPr>
                <w:rFonts w:ascii="Arial" w:hAnsi="Arial" w:cs="Arial"/>
                <w:sz w:val="18"/>
                <w:szCs w:val="18"/>
              </w:rPr>
              <w:t>&lt;1</w:t>
            </w:r>
          </w:p>
        </w:tc>
        <w:tc>
          <w:tcPr>
            <w:tcW w:w="1121" w:type="dxa"/>
            <w:tcBorders>
              <w:top w:val="nil"/>
              <w:bottom w:val="nil"/>
            </w:tcBorders>
            <w:vAlign w:val="center"/>
          </w:tcPr>
          <w:p w14:paraId="7D806866" w14:textId="6BE1BE41" w:rsidR="007E554C" w:rsidRDefault="00140609" w:rsidP="0086528B">
            <w:pPr>
              <w:jc w:val="center"/>
              <w:rPr>
                <w:rFonts w:ascii="Arial" w:hAnsi="Arial" w:cs="Arial"/>
                <w:sz w:val="18"/>
                <w:szCs w:val="18"/>
              </w:rPr>
            </w:pPr>
            <w:r>
              <w:rPr>
                <w:rFonts w:ascii="Arial" w:hAnsi="Arial" w:cs="Arial"/>
                <w:sz w:val="18"/>
                <w:szCs w:val="18"/>
              </w:rPr>
              <w:t>&lt;1</w:t>
            </w:r>
          </w:p>
        </w:tc>
      </w:tr>
      <w:tr w:rsidR="007E554C" w:rsidRPr="00A727C5" w14:paraId="28841D9E" w14:textId="77777777" w:rsidTr="0086528B">
        <w:trPr>
          <w:trHeight w:val="351"/>
        </w:trPr>
        <w:tc>
          <w:tcPr>
            <w:tcW w:w="5474" w:type="dxa"/>
            <w:tcBorders>
              <w:top w:val="nil"/>
              <w:bottom w:val="single" w:sz="4" w:space="0" w:color="auto"/>
            </w:tcBorders>
            <w:shd w:val="clear" w:color="auto" w:fill="auto"/>
            <w:noWrap/>
            <w:vAlign w:val="center"/>
          </w:tcPr>
          <w:p w14:paraId="1656DC85" w14:textId="77777777" w:rsidR="007E554C" w:rsidRPr="00A727C5" w:rsidRDefault="007E554C" w:rsidP="0086528B">
            <w:pPr>
              <w:rPr>
                <w:rFonts w:ascii="Arial" w:hAnsi="Arial" w:cs="Arial"/>
                <w:sz w:val="18"/>
                <w:szCs w:val="18"/>
              </w:rPr>
            </w:pPr>
            <w:r w:rsidRPr="00A727C5">
              <w:rPr>
                <w:rFonts w:ascii="Arial" w:hAnsi="Arial" w:cs="Arial"/>
                <w:sz w:val="18"/>
                <w:szCs w:val="18"/>
              </w:rPr>
              <w:t xml:space="preserve">Anomalous </w:t>
            </w:r>
            <w:r>
              <w:rPr>
                <w:rFonts w:ascii="Arial" w:hAnsi="Arial" w:cs="Arial"/>
                <w:sz w:val="18"/>
                <w:szCs w:val="18"/>
              </w:rPr>
              <w:t xml:space="preserve">or no </w:t>
            </w:r>
            <w:r w:rsidRPr="00A727C5">
              <w:rPr>
                <w:rFonts w:ascii="Arial" w:hAnsi="Arial" w:cs="Arial"/>
                <w:sz w:val="18"/>
                <w:szCs w:val="18"/>
              </w:rPr>
              <w:t>dose response / unable to perform Monte Carlo fit</w:t>
            </w:r>
          </w:p>
        </w:tc>
        <w:tc>
          <w:tcPr>
            <w:tcW w:w="1121" w:type="dxa"/>
            <w:tcBorders>
              <w:top w:val="nil"/>
              <w:bottom w:val="single" w:sz="4" w:space="0" w:color="auto"/>
            </w:tcBorders>
            <w:vAlign w:val="center"/>
          </w:tcPr>
          <w:p w14:paraId="1D568E52" w14:textId="2BCF93CD" w:rsidR="007E554C" w:rsidRPr="00A727C5" w:rsidRDefault="008A7C5A" w:rsidP="0086528B">
            <w:pPr>
              <w:jc w:val="center"/>
              <w:rPr>
                <w:rFonts w:ascii="Arial" w:hAnsi="Arial" w:cs="Arial"/>
                <w:sz w:val="18"/>
                <w:szCs w:val="18"/>
              </w:rPr>
            </w:pPr>
            <w:r>
              <w:rPr>
                <w:rFonts w:ascii="Arial" w:hAnsi="Arial" w:cs="Arial"/>
                <w:sz w:val="18"/>
                <w:szCs w:val="18"/>
              </w:rPr>
              <w:t>29</w:t>
            </w:r>
          </w:p>
        </w:tc>
        <w:tc>
          <w:tcPr>
            <w:tcW w:w="1121" w:type="dxa"/>
            <w:tcBorders>
              <w:top w:val="nil"/>
              <w:bottom w:val="single" w:sz="4" w:space="0" w:color="auto"/>
            </w:tcBorders>
            <w:shd w:val="clear" w:color="auto" w:fill="auto"/>
            <w:noWrap/>
            <w:vAlign w:val="center"/>
          </w:tcPr>
          <w:p w14:paraId="1C9E9584" w14:textId="7B37A2D8" w:rsidR="007E554C" w:rsidRPr="00A727C5" w:rsidRDefault="008A7C5A" w:rsidP="0086528B">
            <w:pPr>
              <w:jc w:val="center"/>
              <w:rPr>
                <w:rFonts w:ascii="Arial" w:hAnsi="Arial" w:cs="Arial"/>
                <w:sz w:val="18"/>
                <w:szCs w:val="18"/>
              </w:rPr>
            </w:pPr>
            <w:r>
              <w:rPr>
                <w:rFonts w:ascii="Arial" w:hAnsi="Arial" w:cs="Arial"/>
                <w:sz w:val="18"/>
                <w:szCs w:val="18"/>
              </w:rPr>
              <w:t>29</w:t>
            </w:r>
          </w:p>
        </w:tc>
        <w:tc>
          <w:tcPr>
            <w:tcW w:w="1121" w:type="dxa"/>
            <w:tcBorders>
              <w:top w:val="nil"/>
              <w:bottom w:val="single" w:sz="4" w:space="0" w:color="auto"/>
            </w:tcBorders>
            <w:vAlign w:val="center"/>
          </w:tcPr>
          <w:p w14:paraId="0ADAA580" w14:textId="5DE09021" w:rsidR="007E554C" w:rsidRPr="00A727C5" w:rsidRDefault="00F104E7" w:rsidP="0086528B">
            <w:pPr>
              <w:jc w:val="center"/>
              <w:rPr>
                <w:rFonts w:ascii="Arial" w:hAnsi="Arial" w:cs="Arial"/>
                <w:sz w:val="18"/>
                <w:szCs w:val="18"/>
              </w:rPr>
            </w:pPr>
            <w:r>
              <w:rPr>
                <w:rFonts w:ascii="Arial" w:hAnsi="Arial" w:cs="Arial"/>
                <w:sz w:val="18"/>
                <w:szCs w:val="18"/>
              </w:rPr>
              <w:t>30</w:t>
            </w:r>
          </w:p>
        </w:tc>
        <w:tc>
          <w:tcPr>
            <w:tcW w:w="1121" w:type="dxa"/>
            <w:tcBorders>
              <w:top w:val="nil"/>
              <w:bottom w:val="single" w:sz="4" w:space="0" w:color="auto"/>
            </w:tcBorders>
            <w:vAlign w:val="center"/>
          </w:tcPr>
          <w:p w14:paraId="010BC9FD" w14:textId="205F0C9C" w:rsidR="007E554C" w:rsidRDefault="00F104E7" w:rsidP="0086528B">
            <w:pPr>
              <w:jc w:val="center"/>
              <w:rPr>
                <w:rFonts w:ascii="Arial" w:hAnsi="Arial" w:cs="Arial"/>
                <w:sz w:val="18"/>
                <w:szCs w:val="18"/>
              </w:rPr>
            </w:pPr>
            <w:r>
              <w:rPr>
                <w:rFonts w:ascii="Arial" w:hAnsi="Arial" w:cs="Arial"/>
                <w:sz w:val="18"/>
                <w:szCs w:val="18"/>
              </w:rPr>
              <w:t>27</w:t>
            </w:r>
          </w:p>
        </w:tc>
        <w:tc>
          <w:tcPr>
            <w:tcW w:w="1121" w:type="dxa"/>
            <w:tcBorders>
              <w:top w:val="nil"/>
              <w:bottom w:val="single" w:sz="4" w:space="0" w:color="auto"/>
            </w:tcBorders>
            <w:vAlign w:val="center"/>
          </w:tcPr>
          <w:p w14:paraId="3C50A203" w14:textId="70B920FD" w:rsidR="007E554C" w:rsidRDefault="00140609" w:rsidP="0086528B">
            <w:pPr>
              <w:jc w:val="center"/>
              <w:rPr>
                <w:rFonts w:ascii="Arial" w:hAnsi="Arial" w:cs="Arial"/>
                <w:sz w:val="18"/>
                <w:szCs w:val="18"/>
              </w:rPr>
            </w:pPr>
            <w:r>
              <w:rPr>
                <w:rFonts w:ascii="Arial" w:hAnsi="Arial" w:cs="Arial"/>
                <w:sz w:val="18"/>
                <w:szCs w:val="18"/>
              </w:rPr>
              <w:t>36</w:t>
            </w:r>
          </w:p>
        </w:tc>
        <w:tc>
          <w:tcPr>
            <w:tcW w:w="1121" w:type="dxa"/>
            <w:tcBorders>
              <w:top w:val="nil"/>
              <w:bottom w:val="single" w:sz="4" w:space="0" w:color="auto"/>
            </w:tcBorders>
            <w:vAlign w:val="center"/>
          </w:tcPr>
          <w:p w14:paraId="7C642248" w14:textId="31DE98A4" w:rsidR="007E554C" w:rsidRDefault="00140609" w:rsidP="0086528B">
            <w:pPr>
              <w:jc w:val="center"/>
              <w:rPr>
                <w:rFonts w:ascii="Arial" w:hAnsi="Arial" w:cs="Arial"/>
                <w:sz w:val="18"/>
                <w:szCs w:val="18"/>
              </w:rPr>
            </w:pPr>
            <w:r>
              <w:rPr>
                <w:rFonts w:ascii="Arial" w:hAnsi="Arial" w:cs="Arial"/>
                <w:sz w:val="18"/>
                <w:szCs w:val="18"/>
              </w:rPr>
              <w:t>35</w:t>
            </w:r>
          </w:p>
        </w:tc>
      </w:tr>
      <w:tr w:rsidR="007E554C" w:rsidRPr="00A727C5" w14:paraId="6A362566" w14:textId="77777777" w:rsidTr="0086528B">
        <w:trPr>
          <w:trHeight w:val="351"/>
        </w:trPr>
        <w:tc>
          <w:tcPr>
            <w:tcW w:w="5474" w:type="dxa"/>
            <w:tcBorders>
              <w:top w:val="single" w:sz="4" w:space="0" w:color="auto"/>
              <w:bottom w:val="single" w:sz="4" w:space="0" w:color="auto"/>
            </w:tcBorders>
            <w:shd w:val="clear" w:color="auto" w:fill="auto"/>
            <w:noWrap/>
            <w:vAlign w:val="center"/>
          </w:tcPr>
          <w:p w14:paraId="6F70FACE" w14:textId="77777777" w:rsidR="007E554C" w:rsidRPr="00A727C5" w:rsidRDefault="007E554C" w:rsidP="0086528B">
            <w:pPr>
              <w:rPr>
                <w:rFonts w:ascii="Arial" w:hAnsi="Arial" w:cs="Arial"/>
                <w:b/>
                <w:bCs/>
                <w:sz w:val="18"/>
                <w:szCs w:val="18"/>
              </w:rPr>
            </w:pPr>
            <w:r w:rsidRPr="00A727C5">
              <w:rPr>
                <w:rFonts w:ascii="Arial" w:hAnsi="Arial" w:cs="Arial"/>
                <w:b/>
                <w:bCs/>
                <w:sz w:val="18"/>
                <w:szCs w:val="18"/>
              </w:rPr>
              <w:t>Sum of rejected grains (%)</w:t>
            </w:r>
          </w:p>
        </w:tc>
        <w:tc>
          <w:tcPr>
            <w:tcW w:w="1121" w:type="dxa"/>
            <w:tcBorders>
              <w:top w:val="single" w:sz="4" w:space="0" w:color="auto"/>
              <w:bottom w:val="single" w:sz="4" w:space="0" w:color="auto"/>
            </w:tcBorders>
            <w:vAlign w:val="center"/>
          </w:tcPr>
          <w:p w14:paraId="5C52AAD1" w14:textId="07E60463" w:rsidR="007E554C" w:rsidRPr="00A727C5" w:rsidRDefault="008A7C5A" w:rsidP="0086528B">
            <w:pPr>
              <w:jc w:val="center"/>
              <w:rPr>
                <w:rFonts w:ascii="Arial" w:hAnsi="Arial" w:cs="Arial"/>
                <w:sz w:val="18"/>
                <w:szCs w:val="18"/>
              </w:rPr>
            </w:pPr>
            <w:r>
              <w:rPr>
                <w:rFonts w:ascii="Arial" w:hAnsi="Arial" w:cs="Arial"/>
                <w:sz w:val="18"/>
                <w:szCs w:val="18"/>
              </w:rPr>
              <w:t>91</w:t>
            </w:r>
          </w:p>
        </w:tc>
        <w:tc>
          <w:tcPr>
            <w:tcW w:w="1121" w:type="dxa"/>
            <w:tcBorders>
              <w:top w:val="single" w:sz="4" w:space="0" w:color="auto"/>
              <w:bottom w:val="single" w:sz="4" w:space="0" w:color="auto"/>
            </w:tcBorders>
            <w:shd w:val="clear" w:color="auto" w:fill="auto"/>
            <w:noWrap/>
            <w:vAlign w:val="center"/>
          </w:tcPr>
          <w:p w14:paraId="6A700909" w14:textId="5AE2A5D0" w:rsidR="007E554C" w:rsidRPr="00A727C5" w:rsidRDefault="008A7C5A" w:rsidP="0086528B">
            <w:pPr>
              <w:jc w:val="center"/>
              <w:rPr>
                <w:rFonts w:ascii="Arial" w:hAnsi="Arial" w:cs="Arial"/>
                <w:sz w:val="18"/>
                <w:szCs w:val="18"/>
              </w:rPr>
            </w:pPr>
            <w:r>
              <w:rPr>
                <w:rFonts w:ascii="Arial" w:hAnsi="Arial" w:cs="Arial"/>
                <w:sz w:val="18"/>
                <w:szCs w:val="18"/>
              </w:rPr>
              <w:t>91</w:t>
            </w:r>
          </w:p>
        </w:tc>
        <w:tc>
          <w:tcPr>
            <w:tcW w:w="1121" w:type="dxa"/>
            <w:tcBorders>
              <w:top w:val="single" w:sz="4" w:space="0" w:color="auto"/>
              <w:bottom w:val="single" w:sz="4" w:space="0" w:color="auto"/>
            </w:tcBorders>
            <w:vAlign w:val="center"/>
          </w:tcPr>
          <w:p w14:paraId="67179ACC" w14:textId="13C77DA0" w:rsidR="007E554C" w:rsidRPr="00A727C5" w:rsidRDefault="008A7C5A" w:rsidP="0086528B">
            <w:pPr>
              <w:jc w:val="center"/>
              <w:rPr>
                <w:rFonts w:ascii="Arial" w:hAnsi="Arial" w:cs="Arial"/>
                <w:sz w:val="18"/>
                <w:szCs w:val="18"/>
              </w:rPr>
            </w:pPr>
            <w:r>
              <w:rPr>
                <w:rFonts w:ascii="Arial" w:hAnsi="Arial" w:cs="Arial"/>
                <w:sz w:val="18"/>
                <w:szCs w:val="18"/>
              </w:rPr>
              <w:t>93</w:t>
            </w:r>
          </w:p>
        </w:tc>
        <w:tc>
          <w:tcPr>
            <w:tcW w:w="1121" w:type="dxa"/>
            <w:tcBorders>
              <w:top w:val="single" w:sz="4" w:space="0" w:color="auto"/>
              <w:bottom w:val="single" w:sz="4" w:space="0" w:color="auto"/>
            </w:tcBorders>
            <w:vAlign w:val="center"/>
          </w:tcPr>
          <w:p w14:paraId="0F9A7FF8" w14:textId="2594AF30" w:rsidR="007E554C" w:rsidRDefault="00F104E7" w:rsidP="0086528B">
            <w:pPr>
              <w:jc w:val="center"/>
              <w:rPr>
                <w:rFonts w:ascii="Arial" w:hAnsi="Arial" w:cs="Arial"/>
                <w:sz w:val="18"/>
                <w:szCs w:val="18"/>
              </w:rPr>
            </w:pPr>
            <w:r>
              <w:rPr>
                <w:rFonts w:ascii="Arial" w:hAnsi="Arial" w:cs="Arial"/>
                <w:sz w:val="18"/>
                <w:szCs w:val="18"/>
              </w:rPr>
              <w:t>92</w:t>
            </w:r>
          </w:p>
        </w:tc>
        <w:tc>
          <w:tcPr>
            <w:tcW w:w="1121" w:type="dxa"/>
            <w:tcBorders>
              <w:top w:val="single" w:sz="4" w:space="0" w:color="auto"/>
              <w:bottom w:val="single" w:sz="4" w:space="0" w:color="auto"/>
            </w:tcBorders>
            <w:vAlign w:val="center"/>
          </w:tcPr>
          <w:p w14:paraId="352C0A3C" w14:textId="5C0219C0" w:rsidR="007E554C" w:rsidRDefault="00140609" w:rsidP="0086528B">
            <w:pPr>
              <w:jc w:val="center"/>
              <w:rPr>
                <w:rFonts w:ascii="Arial" w:hAnsi="Arial" w:cs="Arial"/>
                <w:sz w:val="18"/>
                <w:szCs w:val="18"/>
              </w:rPr>
            </w:pPr>
            <w:r>
              <w:rPr>
                <w:rFonts w:ascii="Arial" w:hAnsi="Arial" w:cs="Arial"/>
                <w:sz w:val="18"/>
                <w:szCs w:val="18"/>
              </w:rPr>
              <w:t>91</w:t>
            </w:r>
          </w:p>
        </w:tc>
        <w:tc>
          <w:tcPr>
            <w:tcW w:w="1121" w:type="dxa"/>
            <w:tcBorders>
              <w:top w:val="single" w:sz="4" w:space="0" w:color="auto"/>
              <w:bottom w:val="single" w:sz="4" w:space="0" w:color="auto"/>
            </w:tcBorders>
            <w:vAlign w:val="center"/>
          </w:tcPr>
          <w:p w14:paraId="75918206" w14:textId="22200A92" w:rsidR="007E554C" w:rsidRDefault="00140609" w:rsidP="0086528B">
            <w:pPr>
              <w:jc w:val="center"/>
              <w:rPr>
                <w:rFonts w:ascii="Arial" w:hAnsi="Arial" w:cs="Arial"/>
                <w:sz w:val="18"/>
                <w:szCs w:val="18"/>
              </w:rPr>
            </w:pPr>
            <w:r>
              <w:rPr>
                <w:rFonts w:ascii="Arial" w:hAnsi="Arial" w:cs="Arial"/>
                <w:sz w:val="18"/>
                <w:szCs w:val="18"/>
              </w:rPr>
              <w:t>89</w:t>
            </w:r>
          </w:p>
        </w:tc>
      </w:tr>
      <w:tr w:rsidR="007E554C" w:rsidRPr="00A727C5" w14:paraId="7BE9505B" w14:textId="77777777" w:rsidTr="0086528B">
        <w:trPr>
          <w:trHeight w:val="351"/>
        </w:trPr>
        <w:tc>
          <w:tcPr>
            <w:tcW w:w="5474" w:type="dxa"/>
            <w:tcBorders>
              <w:top w:val="single" w:sz="4" w:space="0" w:color="auto"/>
              <w:bottom w:val="single" w:sz="4" w:space="0" w:color="auto"/>
            </w:tcBorders>
            <w:shd w:val="clear" w:color="auto" w:fill="auto"/>
            <w:noWrap/>
            <w:vAlign w:val="center"/>
          </w:tcPr>
          <w:p w14:paraId="3A45B8C2" w14:textId="77777777" w:rsidR="007E554C" w:rsidRPr="00A727C5" w:rsidRDefault="007E554C" w:rsidP="0086528B">
            <w:pPr>
              <w:rPr>
                <w:rFonts w:ascii="Arial" w:hAnsi="Arial" w:cs="Arial"/>
                <w:b/>
                <w:bCs/>
                <w:sz w:val="18"/>
                <w:szCs w:val="18"/>
              </w:rPr>
            </w:pPr>
            <w:r w:rsidRPr="00A727C5">
              <w:rPr>
                <w:rFonts w:ascii="Arial" w:hAnsi="Arial" w:cs="Arial"/>
                <w:b/>
                <w:bCs/>
                <w:sz w:val="18"/>
                <w:szCs w:val="18"/>
              </w:rPr>
              <w:t>Sum of accepted grains (%)</w:t>
            </w:r>
          </w:p>
        </w:tc>
        <w:tc>
          <w:tcPr>
            <w:tcW w:w="1121" w:type="dxa"/>
            <w:tcBorders>
              <w:top w:val="single" w:sz="4" w:space="0" w:color="auto"/>
              <w:bottom w:val="single" w:sz="4" w:space="0" w:color="auto"/>
            </w:tcBorders>
            <w:vAlign w:val="center"/>
          </w:tcPr>
          <w:p w14:paraId="1FCDCA3D" w14:textId="0AC38384" w:rsidR="007E554C" w:rsidRPr="00A727C5" w:rsidRDefault="008A7C5A" w:rsidP="0086528B">
            <w:pPr>
              <w:jc w:val="center"/>
              <w:rPr>
                <w:rFonts w:ascii="Arial" w:hAnsi="Arial" w:cs="Arial"/>
                <w:sz w:val="18"/>
                <w:szCs w:val="18"/>
              </w:rPr>
            </w:pPr>
            <w:r>
              <w:rPr>
                <w:rFonts w:ascii="Arial" w:hAnsi="Arial" w:cs="Arial"/>
                <w:sz w:val="18"/>
                <w:szCs w:val="18"/>
              </w:rPr>
              <w:t>9</w:t>
            </w:r>
          </w:p>
        </w:tc>
        <w:tc>
          <w:tcPr>
            <w:tcW w:w="1121" w:type="dxa"/>
            <w:tcBorders>
              <w:top w:val="single" w:sz="4" w:space="0" w:color="auto"/>
              <w:bottom w:val="single" w:sz="4" w:space="0" w:color="auto"/>
            </w:tcBorders>
            <w:shd w:val="clear" w:color="auto" w:fill="auto"/>
            <w:noWrap/>
            <w:vAlign w:val="center"/>
          </w:tcPr>
          <w:p w14:paraId="34D43EE2" w14:textId="0FD4A334" w:rsidR="007E554C" w:rsidRPr="00A727C5" w:rsidRDefault="008A7C5A" w:rsidP="0086528B">
            <w:pPr>
              <w:jc w:val="center"/>
              <w:rPr>
                <w:rFonts w:ascii="Arial" w:hAnsi="Arial" w:cs="Arial"/>
                <w:sz w:val="18"/>
                <w:szCs w:val="18"/>
              </w:rPr>
            </w:pPr>
            <w:r>
              <w:rPr>
                <w:rFonts w:ascii="Arial" w:hAnsi="Arial" w:cs="Arial"/>
                <w:sz w:val="18"/>
                <w:szCs w:val="18"/>
              </w:rPr>
              <w:t>9</w:t>
            </w:r>
          </w:p>
        </w:tc>
        <w:tc>
          <w:tcPr>
            <w:tcW w:w="1121" w:type="dxa"/>
            <w:tcBorders>
              <w:top w:val="single" w:sz="4" w:space="0" w:color="auto"/>
              <w:bottom w:val="single" w:sz="4" w:space="0" w:color="auto"/>
            </w:tcBorders>
            <w:vAlign w:val="center"/>
          </w:tcPr>
          <w:p w14:paraId="4D7D2AD5" w14:textId="6D8E6674" w:rsidR="007E554C" w:rsidRPr="00A727C5" w:rsidRDefault="008A7C5A" w:rsidP="0086528B">
            <w:pPr>
              <w:jc w:val="center"/>
              <w:rPr>
                <w:rFonts w:ascii="Arial" w:hAnsi="Arial" w:cs="Arial"/>
                <w:sz w:val="18"/>
                <w:szCs w:val="18"/>
              </w:rPr>
            </w:pPr>
            <w:r>
              <w:rPr>
                <w:rFonts w:ascii="Arial" w:hAnsi="Arial" w:cs="Arial"/>
                <w:sz w:val="18"/>
                <w:szCs w:val="18"/>
              </w:rPr>
              <w:t>7</w:t>
            </w:r>
          </w:p>
        </w:tc>
        <w:tc>
          <w:tcPr>
            <w:tcW w:w="1121" w:type="dxa"/>
            <w:tcBorders>
              <w:top w:val="single" w:sz="4" w:space="0" w:color="auto"/>
              <w:bottom w:val="single" w:sz="4" w:space="0" w:color="auto"/>
            </w:tcBorders>
            <w:vAlign w:val="center"/>
          </w:tcPr>
          <w:p w14:paraId="55E11933" w14:textId="40251BEE" w:rsidR="007E554C" w:rsidRDefault="00F104E7" w:rsidP="0086528B">
            <w:pPr>
              <w:jc w:val="center"/>
              <w:rPr>
                <w:rFonts w:ascii="Arial" w:hAnsi="Arial" w:cs="Arial"/>
                <w:sz w:val="18"/>
                <w:szCs w:val="18"/>
              </w:rPr>
            </w:pPr>
            <w:r>
              <w:rPr>
                <w:rFonts w:ascii="Arial" w:hAnsi="Arial" w:cs="Arial"/>
                <w:sz w:val="18"/>
                <w:szCs w:val="18"/>
              </w:rPr>
              <w:t>8</w:t>
            </w:r>
          </w:p>
        </w:tc>
        <w:tc>
          <w:tcPr>
            <w:tcW w:w="1121" w:type="dxa"/>
            <w:tcBorders>
              <w:top w:val="single" w:sz="4" w:space="0" w:color="auto"/>
              <w:bottom w:val="single" w:sz="4" w:space="0" w:color="auto"/>
            </w:tcBorders>
            <w:vAlign w:val="center"/>
          </w:tcPr>
          <w:p w14:paraId="3790A1FA" w14:textId="20AAE93C" w:rsidR="007E554C" w:rsidRDefault="00140609" w:rsidP="0086528B">
            <w:pPr>
              <w:jc w:val="center"/>
              <w:rPr>
                <w:rFonts w:ascii="Arial" w:hAnsi="Arial" w:cs="Arial"/>
                <w:sz w:val="18"/>
                <w:szCs w:val="18"/>
              </w:rPr>
            </w:pPr>
            <w:r>
              <w:rPr>
                <w:rFonts w:ascii="Arial" w:hAnsi="Arial" w:cs="Arial"/>
                <w:sz w:val="18"/>
                <w:szCs w:val="18"/>
              </w:rPr>
              <w:t>9</w:t>
            </w:r>
          </w:p>
        </w:tc>
        <w:tc>
          <w:tcPr>
            <w:tcW w:w="1121" w:type="dxa"/>
            <w:tcBorders>
              <w:top w:val="single" w:sz="4" w:space="0" w:color="auto"/>
              <w:bottom w:val="single" w:sz="4" w:space="0" w:color="auto"/>
            </w:tcBorders>
            <w:vAlign w:val="center"/>
          </w:tcPr>
          <w:p w14:paraId="42A2D59A" w14:textId="5874A099" w:rsidR="007E554C" w:rsidRDefault="00140609" w:rsidP="0086528B">
            <w:pPr>
              <w:jc w:val="center"/>
              <w:rPr>
                <w:rFonts w:ascii="Arial" w:hAnsi="Arial" w:cs="Arial"/>
                <w:sz w:val="18"/>
                <w:szCs w:val="18"/>
              </w:rPr>
            </w:pPr>
            <w:r>
              <w:rPr>
                <w:rFonts w:ascii="Arial" w:hAnsi="Arial" w:cs="Arial"/>
                <w:sz w:val="18"/>
                <w:szCs w:val="18"/>
              </w:rPr>
              <w:t>11</w:t>
            </w:r>
          </w:p>
        </w:tc>
      </w:tr>
    </w:tbl>
    <w:p w14:paraId="7C24C306" w14:textId="77777777" w:rsidR="00A727C5" w:rsidRPr="00A727C5" w:rsidRDefault="00A727C5" w:rsidP="00A727C5">
      <w:pPr>
        <w:spacing w:after="160" w:line="259" w:lineRule="auto"/>
        <w:rPr>
          <w:rFonts w:ascii="Calibri" w:eastAsia="Calibri" w:hAnsi="Calibri"/>
          <w:sz w:val="22"/>
          <w:szCs w:val="22"/>
          <w:lang w:eastAsia="en-US"/>
        </w:rPr>
      </w:pPr>
    </w:p>
    <w:p w14:paraId="6F2C10DE" w14:textId="77777777" w:rsidR="00A727C5" w:rsidRDefault="00A727C5" w:rsidP="00A727C5">
      <w:pPr>
        <w:spacing w:after="160" w:line="259" w:lineRule="auto"/>
        <w:jc w:val="both"/>
        <w:rPr>
          <w:b/>
          <w:lang w:val="en-AU"/>
        </w:rPr>
      </w:pPr>
    </w:p>
    <w:p w14:paraId="5172AE1B" w14:textId="3BEFAA5F" w:rsidR="00A727C5" w:rsidRDefault="00A727C5" w:rsidP="00A727C5">
      <w:pPr>
        <w:spacing w:after="160" w:line="259" w:lineRule="auto"/>
        <w:jc w:val="both"/>
        <w:rPr>
          <w:b/>
          <w:lang w:val="en-AU"/>
        </w:rPr>
      </w:pPr>
    </w:p>
    <w:p w14:paraId="7467E503" w14:textId="37381560" w:rsidR="007E554C" w:rsidRDefault="007E554C" w:rsidP="00A727C5">
      <w:pPr>
        <w:spacing w:after="160" w:line="259" w:lineRule="auto"/>
        <w:jc w:val="both"/>
        <w:rPr>
          <w:b/>
          <w:lang w:val="en-AU"/>
        </w:rPr>
      </w:pPr>
    </w:p>
    <w:p w14:paraId="7D98D9F7" w14:textId="5BF6E7A1" w:rsidR="007E554C" w:rsidRDefault="007E554C" w:rsidP="00A727C5">
      <w:pPr>
        <w:spacing w:after="160" w:line="259" w:lineRule="auto"/>
        <w:jc w:val="both"/>
        <w:rPr>
          <w:b/>
          <w:lang w:val="en-AU"/>
        </w:rPr>
      </w:pPr>
    </w:p>
    <w:p w14:paraId="2A20FD88" w14:textId="24BBEB3E" w:rsidR="007E554C" w:rsidRDefault="007E554C" w:rsidP="00A727C5">
      <w:pPr>
        <w:spacing w:after="160" w:line="259" w:lineRule="auto"/>
        <w:jc w:val="both"/>
        <w:rPr>
          <w:b/>
          <w:lang w:val="en-AU"/>
        </w:rPr>
      </w:pPr>
    </w:p>
    <w:p w14:paraId="583C6F5B" w14:textId="1B6BA915" w:rsidR="007E554C" w:rsidRDefault="007E554C" w:rsidP="00A727C5">
      <w:pPr>
        <w:spacing w:after="160" w:line="259" w:lineRule="auto"/>
        <w:jc w:val="both"/>
        <w:rPr>
          <w:b/>
          <w:lang w:val="en-AU"/>
        </w:rPr>
      </w:pPr>
    </w:p>
    <w:p w14:paraId="0C425B1B" w14:textId="2A9078F6" w:rsidR="007E554C" w:rsidRDefault="007E554C" w:rsidP="00A727C5">
      <w:pPr>
        <w:spacing w:after="160" w:line="259" w:lineRule="auto"/>
        <w:jc w:val="both"/>
        <w:rPr>
          <w:b/>
          <w:lang w:val="en-AU"/>
        </w:rPr>
      </w:pPr>
    </w:p>
    <w:p w14:paraId="037D3C07" w14:textId="35DAFDE2" w:rsidR="007E554C" w:rsidRDefault="007E554C" w:rsidP="00A727C5">
      <w:pPr>
        <w:spacing w:after="160" w:line="259" w:lineRule="auto"/>
        <w:jc w:val="both"/>
        <w:rPr>
          <w:b/>
          <w:lang w:val="en-AU"/>
        </w:rPr>
      </w:pPr>
    </w:p>
    <w:p w14:paraId="2D4A85E5" w14:textId="2CAD408F" w:rsidR="007E554C" w:rsidRDefault="007E554C" w:rsidP="00A727C5">
      <w:pPr>
        <w:spacing w:after="160" w:line="259" w:lineRule="auto"/>
        <w:jc w:val="both"/>
        <w:rPr>
          <w:b/>
          <w:lang w:val="en-AU"/>
        </w:rPr>
      </w:pPr>
    </w:p>
    <w:p w14:paraId="0D92671F" w14:textId="6A585337" w:rsidR="007E554C" w:rsidRDefault="007E554C" w:rsidP="00A727C5">
      <w:pPr>
        <w:spacing w:after="160" w:line="259" w:lineRule="auto"/>
        <w:jc w:val="both"/>
        <w:rPr>
          <w:b/>
          <w:lang w:val="en-AU"/>
        </w:rPr>
      </w:pPr>
    </w:p>
    <w:p w14:paraId="597D53CC" w14:textId="6D37103C" w:rsidR="007E554C" w:rsidRDefault="007E554C" w:rsidP="00A727C5">
      <w:pPr>
        <w:spacing w:after="160" w:line="259" w:lineRule="auto"/>
        <w:jc w:val="both"/>
        <w:rPr>
          <w:b/>
          <w:lang w:val="en-AU"/>
        </w:rPr>
      </w:pPr>
    </w:p>
    <w:p w14:paraId="7476B4E5" w14:textId="77777777" w:rsidR="007E554C" w:rsidRDefault="007E554C" w:rsidP="00A727C5">
      <w:pPr>
        <w:spacing w:after="160" w:line="259" w:lineRule="auto"/>
        <w:jc w:val="both"/>
        <w:rPr>
          <w:b/>
          <w:lang w:val="en-AU"/>
        </w:rPr>
      </w:pPr>
    </w:p>
    <w:p w14:paraId="6EA797EE" w14:textId="77777777" w:rsidR="007E554C" w:rsidRDefault="007E554C" w:rsidP="00A727C5">
      <w:pPr>
        <w:spacing w:after="160" w:line="259" w:lineRule="auto"/>
        <w:jc w:val="both"/>
        <w:rPr>
          <w:b/>
          <w:lang w:val="en-AU"/>
        </w:rPr>
      </w:pPr>
    </w:p>
    <w:p w14:paraId="378E2ED5" w14:textId="77777777" w:rsidR="00A727C5" w:rsidRPr="00A727C5" w:rsidRDefault="00A727C5" w:rsidP="00DD58A3">
      <w:pPr>
        <w:jc w:val="both"/>
        <w:rPr>
          <w:lang w:val="en-AU"/>
        </w:rPr>
      </w:pPr>
      <w:r w:rsidRPr="00A727C5">
        <w:rPr>
          <w:b/>
          <w:lang w:val="en-AU"/>
        </w:rPr>
        <w:t>Table S2</w:t>
      </w:r>
      <w:r w:rsidRPr="00A727C5">
        <w:t xml:space="preserve"> Single-grain OSL classification statistics for the dose recovery and natural D</w:t>
      </w:r>
      <w:r w:rsidRPr="00A727C5">
        <w:rPr>
          <w:vertAlign w:val="subscript"/>
        </w:rPr>
        <w:t>e</w:t>
      </w:r>
      <w:r w:rsidRPr="00A727C5">
        <w:t xml:space="preserve"> measurements. The proportion of grains that were rejected from final D</w:t>
      </w:r>
      <w:r w:rsidRPr="00A727C5">
        <w:rPr>
          <w:vertAlign w:val="subscript"/>
        </w:rPr>
        <w:t>e</w:t>
      </w:r>
      <w:r w:rsidRPr="00A727C5">
        <w:t xml:space="preserve"> estimation after applying the various SAR quality assurance</w:t>
      </w:r>
      <w:r w:rsidR="0088368B">
        <w:t xml:space="preserve"> criteria are shown in rows 5-13</w:t>
      </w:r>
      <w:r w:rsidRPr="00A727C5">
        <w:t xml:space="preserve">. </w:t>
      </w:r>
      <w:r w:rsidRPr="00A727C5">
        <w:rPr>
          <w:lang w:val="en-AU"/>
        </w:rPr>
        <w:t>These criteria were applied to each single-grain measurement in the order listed. T</w:t>
      </w:r>
      <w:r w:rsidRPr="00A727C5">
        <w:rPr>
          <w:vertAlign w:val="subscript"/>
          <w:lang w:val="en-AU"/>
        </w:rPr>
        <w:t>n</w:t>
      </w:r>
      <w:r w:rsidRPr="00A727C5">
        <w:rPr>
          <w:lang w:val="en-AU"/>
        </w:rPr>
        <w:t xml:space="preserve"> = natural test dose signal response; L</w:t>
      </w:r>
      <w:r w:rsidRPr="00A727C5">
        <w:rPr>
          <w:vertAlign w:val="subscript"/>
          <w:lang w:val="en-AU"/>
        </w:rPr>
        <w:t>n</w:t>
      </w:r>
      <w:r w:rsidRPr="00A727C5">
        <w:rPr>
          <w:lang w:val="en-AU"/>
        </w:rPr>
        <w:t>/T</w:t>
      </w:r>
      <w:r w:rsidRPr="00A727C5">
        <w:rPr>
          <w:vertAlign w:val="subscript"/>
          <w:lang w:val="en-AU"/>
        </w:rPr>
        <w:t>n</w:t>
      </w:r>
      <w:r w:rsidRPr="00A727C5">
        <w:rPr>
          <w:lang w:val="en-AU"/>
        </w:rPr>
        <w:t xml:space="preserve"> = sensitivity-corrected natural signal response; L</w:t>
      </w:r>
      <w:r w:rsidRPr="00A727C5">
        <w:rPr>
          <w:vertAlign w:val="subscript"/>
          <w:lang w:val="en-AU"/>
        </w:rPr>
        <w:t>x</w:t>
      </w:r>
      <w:r w:rsidRPr="00A727C5">
        <w:rPr>
          <w:lang w:val="en-AU"/>
        </w:rPr>
        <w:t>/T</w:t>
      </w:r>
      <w:r w:rsidRPr="00A727C5">
        <w:rPr>
          <w:vertAlign w:val="subscript"/>
          <w:lang w:val="en-AU"/>
        </w:rPr>
        <w:t>x</w:t>
      </w:r>
      <w:r w:rsidRPr="00A727C5">
        <w:rPr>
          <w:lang w:val="en-AU"/>
        </w:rPr>
        <w:t xml:space="preserve"> = sensitivity-corrected regenerative-dose signal response; </w:t>
      </w:r>
      <w:r w:rsidRPr="00A727C5">
        <w:rPr>
          <w:i/>
          <w:iCs/>
          <w:lang w:val="en-AU"/>
        </w:rPr>
        <w:t>I</w:t>
      </w:r>
      <w:r w:rsidRPr="00A727C5">
        <w:rPr>
          <w:i/>
          <w:iCs/>
          <w:vertAlign w:val="subscript"/>
          <w:lang w:val="en-AU"/>
        </w:rPr>
        <w:t>max</w:t>
      </w:r>
      <w:r w:rsidRPr="00A727C5">
        <w:rPr>
          <w:i/>
          <w:iCs/>
          <w:lang w:val="en-AU"/>
        </w:rPr>
        <w:t xml:space="preserve"> </w:t>
      </w:r>
      <w:r w:rsidRPr="00A727C5">
        <w:rPr>
          <w:lang w:val="en-AU"/>
        </w:rPr>
        <w:t>= saturation OSL intensity of the fitted dose response curve.</w:t>
      </w:r>
    </w:p>
    <w:p w14:paraId="64A75FDE" w14:textId="4EA97356" w:rsidR="00BF4EB1" w:rsidRDefault="00BF4EB1">
      <w:r>
        <w:br w:type="page"/>
      </w:r>
    </w:p>
    <w:p w14:paraId="55BA86ED" w14:textId="04FB2712" w:rsidR="00FB3694" w:rsidRDefault="00FB3694" w:rsidP="00BA0794">
      <w:pPr>
        <w:jc w:val="center"/>
      </w:pPr>
    </w:p>
    <w:p w14:paraId="321692BD" w14:textId="31820517" w:rsidR="00BF4EB1" w:rsidRDefault="00BF4EB1" w:rsidP="00BA0794">
      <w:pPr>
        <w:jc w:val="center"/>
      </w:pPr>
    </w:p>
    <w:tbl>
      <w:tblPr>
        <w:tblW w:w="0" w:type="auto"/>
        <w:jc w:val="center"/>
        <w:tblCellMar>
          <w:left w:w="57" w:type="dxa"/>
          <w:right w:w="57" w:type="dxa"/>
        </w:tblCellMar>
        <w:tblLook w:val="0000" w:firstRow="0" w:lastRow="0" w:firstColumn="0" w:lastColumn="0" w:noHBand="0" w:noVBand="0"/>
      </w:tblPr>
      <w:tblGrid>
        <w:gridCol w:w="1225"/>
        <w:gridCol w:w="675"/>
        <w:gridCol w:w="1075"/>
        <w:gridCol w:w="1114"/>
        <w:gridCol w:w="1635"/>
        <w:gridCol w:w="965"/>
        <w:gridCol w:w="1125"/>
        <w:gridCol w:w="818"/>
        <w:gridCol w:w="914"/>
        <w:gridCol w:w="1214"/>
      </w:tblGrid>
      <w:tr w:rsidR="00212E31" w:rsidRPr="009E1913" w14:paraId="33AD6A09" w14:textId="77777777" w:rsidTr="00973037">
        <w:trPr>
          <w:trHeight w:val="315"/>
          <w:jc w:val="center"/>
        </w:trPr>
        <w:tc>
          <w:tcPr>
            <w:tcW w:w="1225" w:type="dxa"/>
            <w:vMerge w:val="restart"/>
            <w:tcBorders>
              <w:top w:val="single" w:sz="4" w:space="0" w:color="auto"/>
              <w:left w:val="nil"/>
              <w:right w:val="nil"/>
            </w:tcBorders>
            <w:shd w:val="clear" w:color="auto" w:fill="FFFFFF"/>
            <w:noWrap/>
            <w:vAlign w:val="center"/>
          </w:tcPr>
          <w:p w14:paraId="452D1C5E" w14:textId="77777777" w:rsidR="00212E31" w:rsidRPr="009E1913" w:rsidRDefault="00212E31" w:rsidP="009E1913">
            <w:pPr>
              <w:jc w:val="center"/>
              <w:rPr>
                <w:rFonts w:ascii="Arial" w:hAnsi="Arial" w:cs="Arial"/>
                <w:b/>
                <w:sz w:val="18"/>
                <w:szCs w:val="18"/>
              </w:rPr>
            </w:pPr>
            <w:r w:rsidRPr="009E1913">
              <w:rPr>
                <w:rFonts w:ascii="Arial" w:hAnsi="Arial" w:cs="Arial"/>
                <w:b/>
                <w:sz w:val="18"/>
                <w:szCs w:val="18"/>
              </w:rPr>
              <w:t xml:space="preserve">Sample </w:t>
            </w:r>
          </w:p>
          <w:p w14:paraId="6EA62640" w14:textId="77777777" w:rsidR="00212E31" w:rsidRPr="009E1913" w:rsidRDefault="00212E31" w:rsidP="009E1913">
            <w:pPr>
              <w:jc w:val="center"/>
              <w:rPr>
                <w:rFonts w:ascii="Arial" w:hAnsi="Arial" w:cs="Arial"/>
                <w:b/>
                <w:sz w:val="18"/>
                <w:szCs w:val="18"/>
              </w:rPr>
            </w:pPr>
            <w:r w:rsidRPr="009E1913">
              <w:rPr>
                <w:rFonts w:ascii="Arial" w:hAnsi="Arial" w:cs="Arial"/>
                <w:b/>
                <w:sz w:val="18"/>
                <w:szCs w:val="18"/>
              </w:rPr>
              <w:t>name</w:t>
            </w:r>
          </w:p>
        </w:tc>
        <w:tc>
          <w:tcPr>
            <w:tcW w:w="675" w:type="dxa"/>
            <w:vMerge w:val="restart"/>
            <w:tcBorders>
              <w:top w:val="single" w:sz="4" w:space="0" w:color="auto"/>
              <w:left w:val="nil"/>
              <w:right w:val="nil"/>
            </w:tcBorders>
            <w:shd w:val="clear" w:color="auto" w:fill="FFFFFF"/>
            <w:vAlign w:val="center"/>
          </w:tcPr>
          <w:p w14:paraId="6FCE6813" w14:textId="6BE9EA36" w:rsidR="00212E31" w:rsidRDefault="00212E31" w:rsidP="00990E10">
            <w:pPr>
              <w:jc w:val="center"/>
              <w:rPr>
                <w:rFonts w:ascii="Arial" w:hAnsi="Arial" w:cs="Arial"/>
                <w:b/>
                <w:sz w:val="18"/>
                <w:szCs w:val="18"/>
              </w:rPr>
            </w:pPr>
            <w:r>
              <w:rPr>
                <w:rFonts w:ascii="Arial" w:hAnsi="Arial" w:cs="Arial"/>
                <w:b/>
                <w:sz w:val="18"/>
                <w:szCs w:val="18"/>
              </w:rPr>
              <w:t>Strat.</w:t>
            </w:r>
          </w:p>
          <w:p w14:paraId="36456A86" w14:textId="5C7B9ACF" w:rsidR="00212E31" w:rsidRPr="009E1913" w:rsidRDefault="00212E31" w:rsidP="00990E10">
            <w:pPr>
              <w:jc w:val="center"/>
              <w:rPr>
                <w:rFonts w:ascii="Arial" w:hAnsi="Arial" w:cs="Arial"/>
                <w:b/>
                <w:sz w:val="18"/>
                <w:szCs w:val="18"/>
              </w:rPr>
            </w:pPr>
            <w:r>
              <w:rPr>
                <w:rFonts w:ascii="Arial" w:hAnsi="Arial" w:cs="Arial"/>
                <w:b/>
                <w:sz w:val="18"/>
                <w:szCs w:val="18"/>
              </w:rPr>
              <w:t>level</w:t>
            </w:r>
          </w:p>
        </w:tc>
        <w:tc>
          <w:tcPr>
            <w:tcW w:w="1075" w:type="dxa"/>
            <w:vMerge w:val="restart"/>
            <w:tcBorders>
              <w:top w:val="single" w:sz="4" w:space="0" w:color="auto"/>
              <w:left w:val="nil"/>
              <w:right w:val="nil"/>
            </w:tcBorders>
            <w:shd w:val="clear" w:color="auto" w:fill="FFFFFF"/>
            <w:vAlign w:val="center"/>
          </w:tcPr>
          <w:p w14:paraId="2F5BFA9E" w14:textId="3529D4AB" w:rsidR="00212E31" w:rsidRPr="009E1913" w:rsidRDefault="00212E31" w:rsidP="009E1913">
            <w:pPr>
              <w:jc w:val="center"/>
              <w:rPr>
                <w:rFonts w:ascii="Arial" w:hAnsi="Arial" w:cs="Arial"/>
                <w:b/>
                <w:sz w:val="18"/>
                <w:szCs w:val="18"/>
              </w:rPr>
            </w:pPr>
            <w:r w:rsidRPr="009E1913">
              <w:rPr>
                <w:rFonts w:ascii="Arial" w:hAnsi="Arial" w:cs="Arial"/>
                <w:b/>
                <w:sz w:val="18"/>
                <w:szCs w:val="18"/>
              </w:rPr>
              <w:t>Grain</w:t>
            </w:r>
            <w:r>
              <w:rPr>
                <w:rFonts w:ascii="Arial" w:hAnsi="Arial" w:cs="Arial"/>
                <w:b/>
                <w:sz w:val="18"/>
                <w:szCs w:val="18"/>
              </w:rPr>
              <w:t xml:space="preserve"> </w:t>
            </w:r>
            <w:r w:rsidRPr="009E1913">
              <w:rPr>
                <w:rFonts w:ascii="Arial" w:hAnsi="Arial" w:cs="Arial"/>
                <w:b/>
                <w:sz w:val="18"/>
                <w:szCs w:val="18"/>
              </w:rPr>
              <w:t>size</w:t>
            </w:r>
          </w:p>
          <w:p w14:paraId="76AA3B43" w14:textId="77777777" w:rsidR="00212E31" w:rsidRPr="009E1913" w:rsidRDefault="00212E31" w:rsidP="009E1913">
            <w:pPr>
              <w:jc w:val="center"/>
              <w:rPr>
                <w:rFonts w:ascii="Arial" w:hAnsi="Arial" w:cs="Arial"/>
                <w:b/>
                <w:sz w:val="18"/>
                <w:szCs w:val="18"/>
              </w:rPr>
            </w:pPr>
            <w:r w:rsidRPr="009E1913">
              <w:rPr>
                <w:rFonts w:ascii="Arial" w:hAnsi="Arial" w:cs="Arial"/>
                <w:b/>
                <w:sz w:val="18"/>
                <w:szCs w:val="18"/>
              </w:rPr>
              <w:t>(</w:t>
            </w:r>
            <w:proofErr w:type="spellStart"/>
            <w:r w:rsidRPr="009E1913">
              <w:rPr>
                <w:rFonts w:ascii="Arial" w:hAnsi="Arial" w:cs="Arial"/>
                <w:b/>
                <w:sz w:val="18"/>
                <w:szCs w:val="18"/>
              </w:rPr>
              <w:t>μm</w:t>
            </w:r>
            <w:proofErr w:type="spellEnd"/>
            <w:r w:rsidRPr="009E1913">
              <w:rPr>
                <w:rFonts w:ascii="Arial" w:hAnsi="Arial" w:cs="Arial"/>
                <w:b/>
                <w:sz w:val="18"/>
                <w:szCs w:val="18"/>
              </w:rPr>
              <w:t>)</w:t>
            </w:r>
          </w:p>
        </w:tc>
        <w:tc>
          <w:tcPr>
            <w:tcW w:w="1114" w:type="dxa"/>
            <w:vMerge w:val="restart"/>
            <w:tcBorders>
              <w:top w:val="single" w:sz="4" w:space="0" w:color="auto"/>
              <w:left w:val="nil"/>
              <w:right w:val="nil"/>
            </w:tcBorders>
            <w:shd w:val="clear" w:color="auto" w:fill="FFFFFF"/>
            <w:vAlign w:val="center"/>
          </w:tcPr>
          <w:p w14:paraId="74CB59A0" w14:textId="1A3BA47F" w:rsidR="00212E31" w:rsidRPr="009E1913" w:rsidRDefault="00212E31" w:rsidP="00990E10">
            <w:pPr>
              <w:jc w:val="center"/>
              <w:rPr>
                <w:rFonts w:ascii="Arial" w:hAnsi="Arial" w:cs="Arial"/>
                <w:b/>
                <w:sz w:val="18"/>
                <w:szCs w:val="18"/>
              </w:rPr>
            </w:pPr>
            <w:r w:rsidRPr="009E1913">
              <w:rPr>
                <w:rFonts w:ascii="Arial" w:hAnsi="Arial" w:cs="Arial"/>
                <w:b/>
                <w:sz w:val="18"/>
                <w:szCs w:val="18"/>
              </w:rPr>
              <w:t>Total</w:t>
            </w:r>
          </w:p>
          <w:p w14:paraId="62C6F354" w14:textId="77777777" w:rsidR="00212E31" w:rsidRDefault="00212E31" w:rsidP="00990E10">
            <w:pPr>
              <w:jc w:val="center"/>
              <w:rPr>
                <w:rFonts w:ascii="Arial" w:hAnsi="Arial" w:cs="Arial"/>
                <w:b/>
                <w:sz w:val="18"/>
                <w:szCs w:val="18"/>
              </w:rPr>
            </w:pPr>
            <w:r w:rsidRPr="00990E10">
              <w:rPr>
                <w:rFonts w:ascii="Arial" w:hAnsi="Arial" w:cs="Arial"/>
                <w:b/>
                <w:sz w:val="18"/>
                <w:szCs w:val="18"/>
              </w:rPr>
              <w:t>dose rate</w:t>
            </w:r>
          </w:p>
          <w:p w14:paraId="405FE15B" w14:textId="480B919C" w:rsidR="00212E31" w:rsidRPr="00990E10" w:rsidRDefault="00212E31" w:rsidP="00FA529D">
            <w:pPr>
              <w:jc w:val="center"/>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Gy</w:t>
            </w:r>
            <w:proofErr w:type="spellEnd"/>
            <w:r>
              <w:rPr>
                <w:rFonts w:ascii="Arial" w:hAnsi="Arial" w:cs="Arial"/>
                <w:b/>
                <w:sz w:val="18"/>
                <w:szCs w:val="18"/>
              </w:rPr>
              <w:t xml:space="preserve">/ka) </w:t>
            </w:r>
            <w:r w:rsidRPr="00212E31">
              <w:rPr>
                <w:rFonts w:ascii="Arial" w:hAnsi="Arial" w:cs="Arial"/>
                <w:b/>
                <w:sz w:val="18"/>
                <w:szCs w:val="18"/>
                <w:vertAlign w:val="superscript"/>
              </w:rPr>
              <w:t>a</w:t>
            </w:r>
          </w:p>
        </w:tc>
        <w:tc>
          <w:tcPr>
            <w:tcW w:w="5457" w:type="dxa"/>
            <w:gridSpan w:val="5"/>
            <w:tcBorders>
              <w:top w:val="single" w:sz="4" w:space="0" w:color="auto"/>
              <w:left w:val="nil"/>
              <w:bottom w:val="single" w:sz="4" w:space="0" w:color="auto"/>
            </w:tcBorders>
            <w:shd w:val="clear" w:color="auto" w:fill="FFFFFF"/>
            <w:vAlign w:val="center"/>
          </w:tcPr>
          <w:p w14:paraId="4C25DE59" w14:textId="77777777" w:rsidR="00212E31" w:rsidRPr="009E1913" w:rsidRDefault="00212E31" w:rsidP="009E1913">
            <w:pPr>
              <w:jc w:val="center"/>
              <w:rPr>
                <w:rFonts w:ascii="Arial" w:hAnsi="Arial" w:cs="Arial"/>
                <w:b/>
                <w:sz w:val="18"/>
                <w:szCs w:val="18"/>
              </w:rPr>
            </w:pPr>
            <w:r w:rsidRPr="009E1913">
              <w:rPr>
                <w:rFonts w:ascii="Arial" w:hAnsi="Arial" w:cs="Arial"/>
                <w:b/>
                <w:sz w:val="18"/>
                <w:szCs w:val="18"/>
                <w:lang w:val="pt-BR"/>
              </w:rPr>
              <w:t>Equivalent dose (D</w:t>
            </w:r>
            <w:r w:rsidRPr="009E1913">
              <w:rPr>
                <w:rFonts w:ascii="Arial" w:hAnsi="Arial" w:cs="Arial"/>
                <w:b/>
                <w:sz w:val="18"/>
                <w:szCs w:val="18"/>
                <w:vertAlign w:val="subscript"/>
                <w:lang w:val="pt-BR"/>
              </w:rPr>
              <w:t>e</w:t>
            </w:r>
            <w:r w:rsidRPr="009E1913">
              <w:rPr>
                <w:rFonts w:ascii="Arial" w:hAnsi="Arial" w:cs="Arial"/>
                <w:b/>
                <w:sz w:val="18"/>
                <w:szCs w:val="18"/>
                <w:lang w:val="pt-BR"/>
              </w:rPr>
              <w:t>) data</w:t>
            </w:r>
          </w:p>
        </w:tc>
        <w:tc>
          <w:tcPr>
            <w:tcW w:w="1214" w:type="dxa"/>
            <w:vMerge w:val="restart"/>
            <w:tcBorders>
              <w:top w:val="single" w:sz="4" w:space="0" w:color="auto"/>
              <w:left w:val="nil"/>
              <w:right w:val="nil"/>
            </w:tcBorders>
            <w:shd w:val="clear" w:color="auto" w:fill="FFFFFF"/>
            <w:vAlign w:val="center"/>
          </w:tcPr>
          <w:p w14:paraId="366F5222" w14:textId="36A978C5" w:rsidR="00212E31" w:rsidRPr="009E1913" w:rsidRDefault="00212E31" w:rsidP="00212E31">
            <w:pPr>
              <w:jc w:val="center"/>
              <w:rPr>
                <w:rFonts w:ascii="Arial" w:hAnsi="Arial" w:cs="Arial"/>
                <w:b/>
                <w:sz w:val="18"/>
                <w:szCs w:val="18"/>
              </w:rPr>
            </w:pPr>
            <w:r w:rsidRPr="009E1913">
              <w:rPr>
                <w:rFonts w:ascii="Arial" w:hAnsi="Arial" w:cs="Arial"/>
                <w:b/>
                <w:sz w:val="18"/>
                <w:szCs w:val="18"/>
              </w:rPr>
              <w:t>OSL</w:t>
            </w:r>
            <w:r>
              <w:rPr>
                <w:rFonts w:ascii="Arial" w:hAnsi="Arial" w:cs="Arial"/>
                <w:b/>
                <w:sz w:val="18"/>
                <w:szCs w:val="18"/>
              </w:rPr>
              <w:t xml:space="preserve"> age </w:t>
            </w:r>
          </w:p>
          <w:p w14:paraId="67AEB046" w14:textId="5E1D7597" w:rsidR="00212E31" w:rsidRPr="009E1913" w:rsidRDefault="00212E31" w:rsidP="009E1913">
            <w:pPr>
              <w:jc w:val="center"/>
              <w:rPr>
                <w:rFonts w:ascii="Arial" w:hAnsi="Arial" w:cs="Arial"/>
                <w:b/>
                <w:sz w:val="18"/>
                <w:szCs w:val="18"/>
              </w:rPr>
            </w:pPr>
            <w:r w:rsidRPr="009E1913">
              <w:rPr>
                <w:rFonts w:ascii="Arial" w:hAnsi="Arial" w:cs="Arial"/>
                <w:b/>
                <w:sz w:val="18"/>
                <w:szCs w:val="18"/>
              </w:rPr>
              <w:t xml:space="preserve">(ka) </w:t>
            </w:r>
            <w:proofErr w:type="spellStart"/>
            <w:proofErr w:type="gramStart"/>
            <w:r>
              <w:rPr>
                <w:rFonts w:ascii="Arial" w:hAnsi="Arial" w:cs="Arial"/>
                <w:b/>
                <w:sz w:val="18"/>
                <w:szCs w:val="18"/>
                <w:vertAlign w:val="superscript"/>
              </w:rPr>
              <w:t>a,f</w:t>
            </w:r>
            <w:proofErr w:type="spellEnd"/>
            <w:proofErr w:type="gramEnd"/>
          </w:p>
        </w:tc>
      </w:tr>
      <w:tr w:rsidR="00212E31" w:rsidRPr="009E1913" w14:paraId="40CA9748" w14:textId="77777777" w:rsidTr="00973037">
        <w:trPr>
          <w:trHeight w:val="730"/>
          <w:jc w:val="center"/>
        </w:trPr>
        <w:tc>
          <w:tcPr>
            <w:tcW w:w="1225" w:type="dxa"/>
            <w:vMerge/>
            <w:tcBorders>
              <w:left w:val="nil"/>
              <w:bottom w:val="single" w:sz="4" w:space="0" w:color="auto"/>
              <w:right w:val="nil"/>
            </w:tcBorders>
            <w:shd w:val="clear" w:color="auto" w:fill="FFFFFF"/>
            <w:noWrap/>
            <w:vAlign w:val="center"/>
          </w:tcPr>
          <w:p w14:paraId="1EC9B7BC" w14:textId="77777777" w:rsidR="00212E31" w:rsidRPr="009E1913" w:rsidRDefault="00212E31" w:rsidP="00990E10">
            <w:pPr>
              <w:jc w:val="center"/>
              <w:rPr>
                <w:rFonts w:ascii="Arial" w:hAnsi="Arial" w:cs="Arial"/>
                <w:b/>
                <w:sz w:val="18"/>
                <w:szCs w:val="18"/>
              </w:rPr>
            </w:pPr>
          </w:p>
        </w:tc>
        <w:tc>
          <w:tcPr>
            <w:tcW w:w="675" w:type="dxa"/>
            <w:vMerge/>
            <w:tcBorders>
              <w:left w:val="nil"/>
              <w:bottom w:val="single" w:sz="4" w:space="0" w:color="auto"/>
              <w:right w:val="nil"/>
            </w:tcBorders>
            <w:shd w:val="clear" w:color="auto" w:fill="FFFFFF"/>
            <w:vAlign w:val="center"/>
          </w:tcPr>
          <w:p w14:paraId="4ADFD37B" w14:textId="6EBD50B7" w:rsidR="00212E31" w:rsidRPr="009E1913" w:rsidRDefault="00212E31" w:rsidP="00990E10">
            <w:pPr>
              <w:jc w:val="center"/>
              <w:rPr>
                <w:rFonts w:ascii="Arial" w:hAnsi="Arial" w:cs="Arial"/>
                <w:b/>
                <w:sz w:val="18"/>
                <w:szCs w:val="18"/>
              </w:rPr>
            </w:pPr>
          </w:p>
        </w:tc>
        <w:tc>
          <w:tcPr>
            <w:tcW w:w="1075" w:type="dxa"/>
            <w:vMerge/>
            <w:tcBorders>
              <w:left w:val="nil"/>
              <w:bottom w:val="single" w:sz="4" w:space="0" w:color="auto"/>
              <w:right w:val="nil"/>
            </w:tcBorders>
            <w:shd w:val="clear" w:color="auto" w:fill="FFFFFF"/>
            <w:vAlign w:val="center"/>
          </w:tcPr>
          <w:p w14:paraId="3B9A6051" w14:textId="20146E7F" w:rsidR="00212E31" w:rsidRPr="009E1913" w:rsidRDefault="00212E31" w:rsidP="00990E10">
            <w:pPr>
              <w:jc w:val="center"/>
              <w:rPr>
                <w:rFonts w:ascii="Arial" w:hAnsi="Arial" w:cs="Arial"/>
                <w:b/>
                <w:sz w:val="18"/>
                <w:szCs w:val="18"/>
              </w:rPr>
            </w:pPr>
          </w:p>
        </w:tc>
        <w:tc>
          <w:tcPr>
            <w:tcW w:w="1114" w:type="dxa"/>
            <w:vMerge/>
            <w:tcBorders>
              <w:left w:val="nil"/>
              <w:bottom w:val="single" w:sz="4" w:space="0" w:color="auto"/>
              <w:right w:val="nil"/>
            </w:tcBorders>
            <w:shd w:val="clear" w:color="auto" w:fill="FFFFFF"/>
            <w:vAlign w:val="center"/>
          </w:tcPr>
          <w:p w14:paraId="15504198" w14:textId="5B80BC79" w:rsidR="00212E31" w:rsidRPr="00990E10" w:rsidRDefault="00212E31" w:rsidP="00990E10">
            <w:pPr>
              <w:jc w:val="center"/>
              <w:rPr>
                <w:rFonts w:ascii="Arial" w:hAnsi="Arial" w:cs="Arial"/>
                <w:b/>
                <w:sz w:val="18"/>
                <w:szCs w:val="18"/>
              </w:rPr>
            </w:pPr>
          </w:p>
        </w:tc>
        <w:tc>
          <w:tcPr>
            <w:tcW w:w="0" w:type="auto"/>
            <w:tcBorders>
              <w:top w:val="single" w:sz="4" w:space="0" w:color="auto"/>
              <w:left w:val="nil"/>
              <w:bottom w:val="single" w:sz="4" w:space="0" w:color="auto"/>
              <w:right w:val="nil"/>
            </w:tcBorders>
            <w:shd w:val="clear" w:color="auto" w:fill="FFFFFF"/>
            <w:noWrap/>
            <w:vAlign w:val="center"/>
          </w:tcPr>
          <w:p w14:paraId="24C0B30A" w14:textId="1C7398BE" w:rsidR="00212E31" w:rsidRPr="009E1913" w:rsidRDefault="00212E31" w:rsidP="00990E10">
            <w:pPr>
              <w:jc w:val="center"/>
              <w:rPr>
                <w:rFonts w:ascii="Arial" w:hAnsi="Arial" w:cs="Arial"/>
                <w:b/>
                <w:sz w:val="18"/>
                <w:szCs w:val="18"/>
              </w:rPr>
            </w:pPr>
            <w:r>
              <w:rPr>
                <w:rFonts w:ascii="Arial" w:hAnsi="Arial" w:cs="Arial"/>
                <w:b/>
                <w:sz w:val="18"/>
                <w:szCs w:val="18"/>
              </w:rPr>
              <w:t>D</w:t>
            </w:r>
            <w:r w:rsidRPr="00990E10">
              <w:rPr>
                <w:rFonts w:ascii="Arial" w:hAnsi="Arial" w:cs="Arial"/>
                <w:b/>
                <w:sz w:val="18"/>
                <w:szCs w:val="18"/>
                <w:vertAlign w:val="subscript"/>
              </w:rPr>
              <w:t>e</w:t>
            </w:r>
            <w:r>
              <w:rPr>
                <w:rFonts w:ascii="Arial" w:hAnsi="Arial" w:cs="Arial"/>
                <w:b/>
                <w:sz w:val="18"/>
                <w:szCs w:val="18"/>
              </w:rPr>
              <w:t xml:space="preserve"> type </w:t>
            </w:r>
            <w:r>
              <w:rPr>
                <w:rFonts w:ascii="Arial" w:hAnsi="Arial" w:cs="Arial"/>
                <w:b/>
                <w:sz w:val="18"/>
                <w:szCs w:val="18"/>
                <w:vertAlign w:val="superscript"/>
              </w:rPr>
              <w:t>b</w:t>
            </w:r>
          </w:p>
        </w:tc>
        <w:tc>
          <w:tcPr>
            <w:tcW w:w="0" w:type="auto"/>
            <w:tcBorders>
              <w:top w:val="single" w:sz="4" w:space="0" w:color="auto"/>
              <w:left w:val="nil"/>
              <w:bottom w:val="single" w:sz="4" w:space="0" w:color="auto"/>
              <w:right w:val="nil"/>
            </w:tcBorders>
            <w:shd w:val="clear" w:color="auto" w:fill="FFFFFF"/>
            <w:noWrap/>
            <w:vAlign w:val="center"/>
          </w:tcPr>
          <w:p w14:paraId="39E23F0B" w14:textId="77777777" w:rsidR="00212E31" w:rsidRPr="009E1913" w:rsidRDefault="00212E31" w:rsidP="00990E10">
            <w:pPr>
              <w:jc w:val="center"/>
              <w:rPr>
                <w:rFonts w:ascii="Arial" w:hAnsi="Arial" w:cs="Arial"/>
                <w:b/>
                <w:sz w:val="18"/>
                <w:szCs w:val="18"/>
              </w:rPr>
            </w:pPr>
            <w:r w:rsidRPr="009E1913">
              <w:rPr>
                <w:rFonts w:ascii="Arial" w:hAnsi="Arial" w:cs="Arial"/>
                <w:b/>
                <w:sz w:val="18"/>
                <w:szCs w:val="18"/>
              </w:rPr>
              <w:t>No. of</w:t>
            </w:r>
          </w:p>
          <w:p w14:paraId="0DA649AB" w14:textId="32927870" w:rsidR="00212E31" w:rsidRPr="009E1913" w:rsidRDefault="00212E31" w:rsidP="00990E10">
            <w:pPr>
              <w:jc w:val="center"/>
              <w:rPr>
                <w:rFonts w:ascii="Arial" w:hAnsi="Arial" w:cs="Arial"/>
                <w:b/>
                <w:sz w:val="18"/>
                <w:szCs w:val="18"/>
              </w:rPr>
            </w:pPr>
            <w:r w:rsidRPr="009E1913">
              <w:rPr>
                <w:rFonts w:ascii="Arial" w:hAnsi="Arial" w:cs="Arial"/>
                <w:b/>
                <w:sz w:val="18"/>
                <w:szCs w:val="18"/>
              </w:rPr>
              <w:t xml:space="preserve">grains </w:t>
            </w:r>
            <w:r>
              <w:rPr>
                <w:rFonts w:ascii="Arial" w:hAnsi="Arial" w:cs="Arial"/>
                <w:b/>
                <w:sz w:val="18"/>
                <w:szCs w:val="18"/>
                <w:vertAlign w:val="superscript"/>
              </w:rPr>
              <w:t>c</w:t>
            </w:r>
          </w:p>
        </w:tc>
        <w:tc>
          <w:tcPr>
            <w:tcW w:w="1125" w:type="dxa"/>
            <w:tcBorders>
              <w:top w:val="single" w:sz="4" w:space="0" w:color="auto"/>
              <w:left w:val="nil"/>
              <w:bottom w:val="single" w:sz="4" w:space="0" w:color="auto"/>
            </w:tcBorders>
            <w:shd w:val="clear" w:color="auto" w:fill="FFFFFF"/>
            <w:noWrap/>
            <w:vAlign w:val="center"/>
          </w:tcPr>
          <w:p w14:paraId="7E0E446E" w14:textId="77777777" w:rsidR="00212E31" w:rsidRPr="009E1913" w:rsidRDefault="00212E31" w:rsidP="00990E10">
            <w:pPr>
              <w:jc w:val="center"/>
              <w:rPr>
                <w:rFonts w:ascii="Arial" w:hAnsi="Arial" w:cs="Arial"/>
                <w:b/>
                <w:sz w:val="18"/>
                <w:szCs w:val="18"/>
              </w:rPr>
            </w:pPr>
            <w:r w:rsidRPr="009E1913">
              <w:rPr>
                <w:rFonts w:ascii="Arial" w:hAnsi="Arial" w:cs="Arial"/>
                <w:b/>
                <w:sz w:val="18"/>
                <w:szCs w:val="18"/>
              </w:rPr>
              <w:t>Over-</w:t>
            </w:r>
          </w:p>
          <w:p w14:paraId="0464326A" w14:textId="77777777" w:rsidR="00212E31" w:rsidRPr="009E1913" w:rsidRDefault="00212E31" w:rsidP="00990E10">
            <w:pPr>
              <w:jc w:val="center"/>
              <w:rPr>
                <w:rFonts w:ascii="Arial" w:hAnsi="Arial" w:cs="Arial"/>
                <w:b/>
                <w:sz w:val="18"/>
                <w:szCs w:val="18"/>
              </w:rPr>
            </w:pPr>
            <w:r w:rsidRPr="009E1913">
              <w:rPr>
                <w:rFonts w:ascii="Arial" w:hAnsi="Arial" w:cs="Arial"/>
                <w:b/>
                <w:sz w:val="18"/>
                <w:szCs w:val="18"/>
              </w:rPr>
              <w:t>dispersion</w:t>
            </w:r>
          </w:p>
          <w:p w14:paraId="1C96A315" w14:textId="098CCD29" w:rsidR="00212E31" w:rsidRPr="009E1913" w:rsidRDefault="00212E31" w:rsidP="00990E10">
            <w:pPr>
              <w:jc w:val="center"/>
              <w:rPr>
                <w:rFonts w:ascii="Arial" w:hAnsi="Arial" w:cs="Arial"/>
                <w:b/>
                <w:sz w:val="18"/>
                <w:szCs w:val="18"/>
              </w:rPr>
            </w:pPr>
            <w:r w:rsidRPr="009E1913">
              <w:rPr>
                <w:rFonts w:ascii="Arial" w:hAnsi="Arial" w:cs="Arial"/>
                <w:b/>
                <w:sz w:val="18"/>
                <w:szCs w:val="18"/>
              </w:rPr>
              <w:t xml:space="preserve">(%) </w:t>
            </w:r>
            <w:r>
              <w:rPr>
                <w:rFonts w:ascii="Arial" w:hAnsi="Arial" w:cs="Arial"/>
                <w:b/>
                <w:sz w:val="18"/>
                <w:szCs w:val="18"/>
                <w:vertAlign w:val="superscript"/>
              </w:rPr>
              <w:t>d</w:t>
            </w:r>
          </w:p>
        </w:tc>
        <w:tc>
          <w:tcPr>
            <w:tcW w:w="818" w:type="dxa"/>
            <w:tcBorders>
              <w:top w:val="nil"/>
              <w:bottom w:val="single" w:sz="4" w:space="0" w:color="auto"/>
            </w:tcBorders>
            <w:shd w:val="clear" w:color="auto" w:fill="FFFFFF"/>
            <w:vAlign w:val="center"/>
          </w:tcPr>
          <w:p w14:paraId="40CC93CC" w14:textId="77777777" w:rsidR="00212E31" w:rsidRPr="009E1913" w:rsidRDefault="00212E31" w:rsidP="00990E10">
            <w:pPr>
              <w:jc w:val="center"/>
              <w:rPr>
                <w:rFonts w:ascii="Arial" w:hAnsi="Arial" w:cs="Arial"/>
                <w:b/>
                <w:sz w:val="18"/>
                <w:szCs w:val="18"/>
              </w:rPr>
            </w:pPr>
            <w:r w:rsidRPr="009E1913">
              <w:rPr>
                <w:rFonts w:ascii="Arial" w:hAnsi="Arial" w:cs="Arial"/>
                <w:b/>
                <w:sz w:val="18"/>
                <w:szCs w:val="18"/>
              </w:rPr>
              <w:t xml:space="preserve">Age </w:t>
            </w:r>
          </w:p>
          <w:p w14:paraId="59FB18F2" w14:textId="3AE74AEA" w:rsidR="00212E31" w:rsidRPr="009E1913" w:rsidRDefault="00212E31" w:rsidP="00990E10">
            <w:pPr>
              <w:jc w:val="center"/>
              <w:rPr>
                <w:rFonts w:ascii="Arial" w:hAnsi="Arial" w:cs="Arial"/>
                <w:b/>
                <w:sz w:val="18"/>
                <w:szCs w:val="18"/>
              </w:rPr>
            </w:pPr>
            <w:r w:rsidRPr="009E1913">
              <w:rPr>
                <w:rFonts w:ascii="Arial" w:hAnsi="Arial" w:cs="Arial"/>
                <w:b/>
                <w:sz w:val="18"/>
                <w:szCs w:val="18"/>
              </w:rPr>
              <w:t xml:space="preserve">Model </w:t>
            </w:r>
            <w:r>
              <w:rPr>
                <w:rFonts w:ascii="Arial" w:hAnsi="Arial" w:cs="Arial"/>
                <w:b/>
                <w:sz w:val="18"/>
                <w:szCs w:val="18"/>
                <w:vertAlign w:val="superscript"/>
              </w:rPr>
              <w:t>e</w:t>
            </w:r>
          </w:p>
        </w:tc>
        <w:tc>
          <w:tcPr>
            <w:tcW w:w="914" w:type="dxa"/>
            <w:tcBorders>
              <w:bottom w:val="single" w:sz="4" w:space="0" w:color="auto"/>
            </w:tcBorders>
            <w:shd w:val="clear" w:color="auto" w:fill="FFFFFF"/>
            <w:vAlign w:val="center"/>
          </w:tcPr>
          <w:p w14:paraId="10F8DE39" w14:textId="77777777" w:rsidR="00212E31" w:rsidRPr="009E1913" w:rsidRDefault="00212E31" w:rsidP="00990E10">
            <w:pPr>
              <w:jc w:val="center"/>
              <w:rPr>
                <w:rFonts w:ascii="Arial" w:hAnsi="Arial" w:cs="Arial"/>
                <w:b/>
                <w:sz w:val="18"/>
                <w:szCs w:val="18"/>
              </w:rPr>
            </w:pPr>
            <w:r w:rsidRPr="009E1913">
              <w:rPr>
                <w:rFonts w:ascii="Arial" w:hAnsi="Arial" w:cs="Arial"/>
                <w:b/>
                <w:sz w:val="18"/>
                <w:szCs w:val="18"/>
              </w:rPr>
              <w:t>D</w:t>
            </w:r>
            <w:r w:rsidRPr="009E1913">
              <w:rPr>
                <w:rFonts w:ascii="Arial" w:hAnsi="Arial" w:cs="Arial"/>
                <w:b/>
                <w:sz w:val="18"/>
                <w:szCs w:val="18"/>
                <w:vertAlign w:val="subscript"/>
              </w:rPr>
              <w:t>e</w:t>
            </w:r>
          </w:p>
          <w:p w14:paraId="3671F02C" w14:textId="10147E5B" w:rsidR="00212E31" w:rsidRPr="009E1913" w:rsidRDefault="00212E31" w:rsidP="00990E10">
            <w:pPr>
              <w:jc w:val="center"/>
              <w:rPr>
                <w:rFonts w:ascii="Arial" w:hAnsi="Arial" w:cs="Arial"/>
                <w:b/>
                <w:sz w:val="18"/>
                <w:szCs w:val="18"/>
              </w:rPr>
            </w:pPr>
            <w:r w:rsidRPr="009E1913">
              <w:rPr>
                <w:rFonts w:ascii="Arial" w:hAnsi="Arial" w:cs="Arial"/>
                <w:b/>
                <w:sz w:val="18"/>
                <w:szCs w:val="18"/>
              </w:rPr>
              <w:t>(</w:t>
            </w:r>
            <w:proofErr w:type="spellStart"/>
            <w:r w:rsidRPr="009E1913">
              <w:rPr>
                <w:rFonts w:ascii="Arial" w:hAnsi="Arial" w:cs="Arial"/>
                <w:b/>
                <w:sz w:val="18"/>
                <w:szCs w:val="18"/>
              </w:rPr>
              <w:t>Gy</w:t>
            </w:r>
            <w:proofErr w:type="spellEnd"/>
            <w:r w:rsidRPr="009E1913">
              <w:rPr>
                <w:rFonts w:ascii="Arial" w:hAnsi="Arial" w:cs="Arial"/>
                <w:b/>
                <w:sz w:val="18"/>
                <w:szCs w:val="18"/>
              </w:rPr>
              <w:t xml:space="preserve">) </w:t>
            </w:r>
            <w:r>
              <w:rPr>
                <w:rFonts w:ascii="Arial" w:hAnsi="Arial" w:cs="Arial"/>
                <w:b/>
                <w:sz w:val="18"/>
                <w:szCs w:val="18"/>
                <w:vertAlign w:val="superscript"/>
              </w:rPr>
              <w:t>a</w:t>
            </w:r>
          </w:p>
        </w:tc>
        <w:tc>
          <w:tcPr>
            <w:tcW w:w="1214" w:type="dxa"/>
            <w:vMerge/>
            <w:tcBorders>
              <w:left w:val="nil"/>
              <w:bottom w:val="single" w:sz="4" w:space="0" w:color="auto"/>
              <w:right w:val="nil"/>
            </w:tcBorders>
            <w:shd w:val="clear" w:color="auto" w:fill="FFFFFF"/>
            <w:vAlign w:val="center"/>
          </w:tcPr>
          <w:p w14:paraId="4C179C0E" w14:textId="77777777" w:rsidR="00212E31" w:rsidRPr="009E1913" w:rsidRDefault="00212E31" w:rsidP="00990E10">
            <w:pPr>
              <w:jc w:val="center"/>
              <w:rPr>
                <w:rFonts w:ascii="Arial" w:hAnsi="Arial" w:cs="Arial"/>
                <w:b/>
                <w:sz w:val="18"/>
                <w:szCs w:val="18"/>
              </w:rPr>
            </w:pPr>
          </w:p>
        </w:tc>
      </w:tr>
      <w:tr w:rsidR="00212E31" w:rsidRPr="009E1913" w14:paraId="7EC93696" w14:textId="77777777" w:rsidTr="00973037">
        <w:trPr>
          <w:trHeight w:val="315"/>
          <w:jc w:val="center"/>
        </w:trPr>
        <w:tc>
          <w:tcPr>
            <w:tcW w:w="1225" w:type="dxa"/>
            <w:tcBorders>
              <w:top w:val="nil"/>
              <w:left w:val="nil"/>
              <w:right w:val="nil"/>
            </w:tcBorders>
            <w:shd w:val="clear" w:color="auto" w:fill="FFFFFF"/>
            <w:noWrap/>
            <w:vAlign w:val="center"/>
          </w:tcPr>
          <w:p w14:paraId="371A88F6" w14:textId="456F9D1A" w:rsidR="00212E31" w:rsidRPr="009E1913" w:rsidRDefault="00212E31" w:rsidP="00990E10">
            <w:pPr>
              <w:rPr>
                <w:rFonts w:ascii="Arial" w:hAnsi="Arial" w:cs="Arial"/>
                <w:sz w:val="18"/>
                <w:szCs w:val="18"/>
              </w:rPr>
            </w:pPr>
            <w:r w:rsidRPr="00990E10">
              <w:rPr>
                <w:rFonts w:ascii="Arial" w:hAnsi="Arial" w:cs="Arial"/>
                <w:sz w:val="18"/>
                <w:szCs w:val="18"/>
              </w:rPr>
              <w:t>LM17188-01</w:t>
            </w:r>
          </w:p>
        </w:tc>
        <w:tc>
          <w:tcPr>
            <w:tcW w:w="675" w:type="dxa"/>
            <w:tcBorders>
              <w:top w:val="nil"/>
              <w:left w:val="nil"/>
              <w:right w:val="nil"/>
            </w:tcBorders>
            <w:shd w:val="clear" w:color="auto" w:fill="FFFFFF"/>
            <w:vAlign w:val="center"/>
          </w:tcPr>
          <w:p w14:paraId="0F0DE0BA" w14:textId="24196B67" w:rsidR="00212E31" w:rsidRPr="009E1913" w:rsidRDefault="00212E31" w:rsidP="00990E10">
            <w:pPr>
              <w:jc w:val="center"/>
              <w:rPr>
                <w:rFonts w:ascii="Arial" w:hAnsi="Arial" w:cs="Arial"/>
                <w:sz w:val="18"/>
                <w:szCs w:val="18"/>
              </w:rPr>
            </w:pPr>
            <w:r>
              <w:rPr>
                <w:rFonts w:ascii="Arial" w:hAnsi="Arial" w:cs="Arial"/>
                <w:sz w:val="18"/>
                <w:szCs w:val="18"/>
              </w:rPr>
              <w:t>FM4</w:t>
            </w:r>
          </w:p>
        </w:tc>
        <w:tc>
          <w:tcPr>
            <w:tcW w:w="1075" w:type="dxa"/>
            <w:tcBorders>
              <w:top w:val="nil"/>
              <w:left w:val="nil"/>
              <w:right w:val="nil"/>
            </w:tcBorders>
            <w:shd w:val="clear" w:color="auto" w:fill="FFFFFF"/>
            <w:vAlign w:val="center"/>
          </w:tcPr>
          <w:p w14:paraId="10051D1D" w14:textId="1504BC6B" w:rsidR="00212E31" w:rsidRPr="009E1913" w:rsidRDefault="00212E31" w:rsidP="00990E10">
            <w:pPr>
              <w:jc w:val="center"/>
              <w:rPr>
                <w:rFonts w:ascii="Arial" w:hAnsi="Arial" w:cs="Arial"/>
                <w:sz w:val="18"/>
                <w:szCs w:val="18"/>
              </w:rPr>
            </w:pPr>
            <w:r w:rsidRPr="00990E10">
              <w:rPr>
                <w:rFonts w:ascii="Arial" w:hAnsi="Arial" w:cs="Arial"/>
                <w:sz w:val="18"/>
                <w:szCs w:val="18"/>
              </w:rPr>
              <w:t>180 – 212</w:t>
            </w:r>
          </w:p>
        </w:tc>
        <w:tc>
          <w:tcPr>
            <w:tcW w:w="1114" w:type="dxa"/>
            <w:tcBorders>
              <w:top w:val="nil"/>
              <w:left w:val="nil"/>
              <w:right w:val="nil"/>
            </w:tcBorders>
            <w:shd w:val="clear" w:color="auto" w:fill="FFFFFF"/>
            <w:vAlign w:val="center"/>
          </w:tcPr>
          <w:p w14:paraId="34E4E7D2" w14:textId="670A7B23" w:rsidR="00212E31" w:rsidRPr="00990E10" w:rsidRDefault="00212E31" w:rsidP="00990E10">
            <w:pPr>
              <w:jc w:val="center"/>
              <w:rPr>
                <w:rFonts w:ascii="Arial" w:hAnsi="Arial" w:cs="Arial"/>
                <w:sz w:val="18"/>
                <w:szCs w:val="18"/>
              </w:rPr>
            </w:pPr>
            <w:r w:rsidRPr="00990E10">
              <w:rPr>
                <w:rFonts w:ascii="Arial" w:hAnsi="Arial" w:cs="Arial"/>
                <w:sz w:val="18"/>
                <w:szCs w:val="18"/>
              </w:rPr>
              <w:t>2.22 ± 0.12</w:t>
            </w:r>
          </w:p>
        </w:tc>
        <w:tc>
          <w:tcPr>
            <w:tcW w:w="0" w:type="auto"/>
            <w:tcBorders>
              <w:top w:val="nil"/>
              <w:left w:val="nil"/>
              <w:right w:val="nil"/>
            </w:tcBorders>
            <w:shd w:val="clear" w:color="auto" w:fill="FFFFFF"/>
            <w:noWrap/>
            <w:vAlign w:val="center"/>
          </w:tcPr>
          <w:p w14:paraId="0F0C97CD" w14:textId="63904806" w:rsidR="00212E31" w:rsidRPr="009E1913" w:rsidRDefault="00212E31" w:rsidP="00990E10">
            <w:pPr>
              <w:jc w:val="center"/>
              <w:rPr>
                <w:rFonts w:ascii="Arial" w:hAnsi="Arial" w:cs="Arial"/>
                <w:sz w:val="18"/>
                <w:szCs w:val="18"/>
              </w:rPr>
            </w:pPr>
            <w:r>
              <w:rPr>
                <w:rFonts w:ascii="Arial" w:hAnsi="Arial" w:cs="Arial"/>
                <w:sz w:val="18"/>
                <w:szCs w:val="18"/>
              </w:rPr>
              <w:t>SG OSL</w:t>
            </w:r>
          </w:p>
        </w:tc>
        <w:tc>
          <w:tcPr>
            <w:tcW w:w="0" w:type="auto"/>
            <w:tcBorders>
              <w:top w:val="nil"/>
              <w:left w:val="nil"/>
              <w:right w:val="nil"/>
            </w:tcBorders>
            <w:shd w:val="clear" w:color="auto" w:fill="FFFFFF"/>
            <w:noWrap/>
            <w:vAlign w:val="center"/>
          </w:tcPr>
          <w:p w14:paraId="71284A9E" w14:textId="5D023D82" w:rsidR="00212E31" w:rsidRPr="009E1913" w:rsidRDefault="00212E31" w:rsidP="00990E10">
            <w:pPr>
              <w:jc w:val="center"/>
              <w:rPr>
                <w:rFonts w:ascii="Arial" w:hAnsi="Arial" w:cs="Arial"/>
                <w:sz w:val="18"/>
                <w:szCs w:val="18"/>
              </w:rPr>
            </w:pPr>
            <w:r w:rsidRPr="00990E10">
              <w:rPr>
                <w:rFonts w:ascii="Arial" w:hAnsi="Arial" w:cs="Arial"/>
                <w:sz w:val="18"/>
                <w:szCs w:val="18"/>
              </w:rPr>
              <w:t>207 / 2300</w:t>
            </w:r>
          </w:p>
        </w:tc>
        <w:tc>
          <w:tcPr>
            <w:tcW w:w="1125" w:type="dxa"/>
            <w:tcBorders>
              <w:top w:val="nil"/>
              <w:left w:val="nil"/>
            </w:tcBorders>
            <w:shd w:val="clear" w:color="auto" w:fill="FFFFFF"/>
            <w:noWrap/>
            <w:vAlign w:val="center"/>
          </w:tcPr>
          <w:p w14:paraId="31C3839D" w14:textId="56281C6F" w:rsidR="00212E31" w:rsidRPr="009E1913" w:rsidRDefault="00212E31" w:rsidP="00990E10">
            <w:pPr>
              <w:jc w:val="center"/>
              <w:rPr>
                <w:rFonts w:ascii="Arial" w:hAnsi="Arial" w:cs="Arial"/>
                <w:sz w:val="18"/>
                <w:szCs w:val="18"/>
              </w:rPr>
            </w:pPr>
            <w:r w:rsidRPr="00990E10">
              <w:rPr>
                <w:rFonts w:ascii="Arial" w:hAnsi="Arial" w:cs="Arial"/>
                <w:sz w:val="18"/>
                <w:szCs w:val="18"/>
              </w:rPr>
              <w:t>50 ± 3</w:t>
            </w:r>
          </w:p>
        </w:tc>
        <w:tc>
          <w:tcPr>
            <w:tcW w:w="818" w:type="dxa"/>
            <w:tcBorders>
              <w:top w:val="nil"/>
            </w:tcBorders>
            <w:shd w:val="clear" w:color="auto" w:fill="FFFFFF"/>
            <w:vAlign w:val="center"/>
          </w:tcPr>
          <w:p w14:paraId="349CED63" w14:textId="5BD79FEB" w:rsidR="00212E31" w:rsidRPr="009E1913" w:rsidRDefault="00212E31" w:rsidP="00990E10">
            <w:pPr>
              <w:jc w:val="center"/>
              <w:rPr>
                <w:rFonts w:ascii="Arial" w:hAnsi="Arial" w:cs="Arial"/>
                <w:sz w:val="18"/>
                <w:szCs w:val="18"/>
              </w:rPr>
            </w:pPr>
            <w:r w:rsidRPr="00990E10">
              <w:rPr>
                <w:rFonts w:ascii="Arial" w:hAnsi="Arial" w:cs="Arial"/>
                <w:sz w:val="18"/>
                <w:szCs w:val="18"/>
              </w:rPr>
              <w:t>CAM</w:t>
            </w:r>
          </w:p>
        </w:tc>
        <w:tc>
          <w:tcPr>
            <w:tcW w:w="914" w:type="dxa"/>
            <w:tcBorders>
              <w:top w:val="nil"/>
            </w:tcBorders>
            <w:shd w:val="clear" w:color="auto" w:fill="FFFFFF"/>
            <w:vAlign w:val="center"/>
          </w:tcPr>
          <w:p w14:paraId="034BB028" w14:textId="7A1EF327" w:rsidR="00212E31" w:rsidRPr="009E1913" w:rsidRDefault="00212E31" w:rsidP="00990E10">
            <w:pPr>
              <w:jc w:val="center"/>
              <w:rPr>
                <w:rFonts w:ascii="Arial" w:hAnsi="Arial" w:cs="Arial"/>
                <w:sz w:val="18"/>
                <w:szCs w:val="18"/>
              </w:rPr>
            </w:pPr>
            <w:r w:rsidRPr="00990E10">
              <w:rPr>
                <w:rFonts w:ascii="Arial" w:hAnsi="Arial" w:cs="Arial"/>
                <w:sz w:val="18"/>
                <w:szCs w:val="18"/>
              </w:rPr>
              <w:t xml:space="preserve">188 ± 8 </w:t>
            </w:r>
          </w:p>
        </w:tc>
        <w:tc>
          <w:tcPr>
            <w:tcW w:w="1214" w:type="dxa"/>
            <w:tcBorders>
              <w:top w:val="nil"/>
              <w:left w:val="nil"/>
              <w:right w:val="nil"/>
            </w:tcBorders>
            <w:shd w:val="clear" w:color="auto" w:fill="FFFFFF"/>
            <w:vAlign w:val="center"/>
          </w:tcPr>
          <w:p w14:paraId="09B1A30F" w14:textId="106317E1" w:rsidR="00212E31" w:rsidRPr="009E1913" w:rsidRDefault="00212E31" w:rsidP="00990E10">
            <w:pPr>
              <w:jc w:val="center"/>
              <w:rPr>
                <w:rFonts w:ascii="Arial" w:hAnsi="Arial" w:cs="Arial"/>
                <w:sz w:val="18"/>
                <w:szCs w:val="18"/>
              </w:rPr>
            </w:pPr>
            <w:r w:rsidRPr="00990E10">
              <w:rPr>
                <w:rFonts w:ascii="Arial" w:hAnsi="Arial" w:cs="Arial"/>
                <w:sz w:val="18"/>
                <w:szCs w:val="18"/>
              </w:rPr>
              <w:t>84.7 ± 5.9</w:t>
            </w:r>
          </w:p>
        </w:tc>
      </w:tr>
      <w:tr w:rsidR="00212E31" w:rsidRPr="009E1913" w14:paraId="0CE2983B" w14:textId="77777777" w:rsidTr="00973037">
        <w:trPr>
          <w:trHeight w:val="315"/>
          <w:jc w:val="center"/>
        </w:trPr>
        <w:tc>
          <w:tcPr>
            <w:tcW w:w="1225" w:type="dxa"/>
            <w:tcBorders>
              <w:top w:val="nil"/>
              <w:left w:val="nil"/>
              <w:right w:val="nil"/>
            </w:tcBorders>
            <w:shd w:val="clear" w:color="auto" w:fill="FFFFFF"/>
            <w:noWrap/>
            <w:vAlign w:val="center"/>
          </w:tcPr>
          <w:p w14:paraId="6A3B8F16" w14:textId="77777777" w:rsidR="00212E31" w:rsidRPr="00990E10" w:rsidRDefault="00212E31" w:rsidP="00FA529D">
            <w:pPr>
              <w:jc w:val="center"/>
              <w:rPr>
                <w:rFonts w:ascii="Arial" w:hAnsi="Arial" w:cs="Arial"/>
                <w:sz w:val="18"/>
                <w:szCs w:val="18"/>
              </w:rPr>
            </w:pPr>
          </w:p>
        </w:tc>
        <w:tc>
          <w:tcPr>
            <w:tcW w:w="675" w:type="dxa"/>
            <w:tcBorders>
              <w:top w:val="nil"/>
              <w:left w:val="nil"/>
              <w:right w:val="nil"/>
            </w:tcBorders>
            <w:shd w:val="clear" w:color="auto" w:fill="FFFFFF"/>
            <w:vAlign w:val="center"/>
          </w:tcPr>
          <w:p w14:paraId="09ED3B4D" w14:textId="77777777" w:rsidR="00212E31" w:rsidRDefault="00212E31" w:rsidP="00FA529D">
            <w:pPr>
              <w:jc w:val="center"/>
              <w:rPr>
                <w:rFonts w:ascii="Arial" w:hAnsi="Arial" w:cs="Arial"/>
                <w:sz w:val="18"/>
                <w:szCs w:val="18"/>
              </w:rPr>
            </w:pPr>
          </w:p>
        </w:tc>
        <w:tc>
          <w:tcPr>
            <w:tcW w:w="1075" w:type="dxa"/>
            <w:tcBorders>
              <w:top w:val="nil"/>
              <w:left w:val="nil"/>
              <w:right w:val="nil"/>
            </w:tcBorders>
            <w:shd w:val="clear" w:color="auto" w:fill="FFFFFF"/>
            <w:vAlign w:val="center"/>
          </w:tcPr>
          <w:p w14:paraId="6D08B98F" w14:textId="77777777" w:rsidR="00212E31" w:rsidRPr="00990E10" w:rsidRDefault="00212E31" w:rsidP="00FA529D">
            <w:pPr>
              <w:jc w:val="center"/>
              <w:rPr>
                <w:rFonts w:ascii="Arial" w:hAnsi="Arial" w:cs="Arial"/>
                <w:sz w:val="18"/>
                <w:szCs w:val="18"/>
              </w:rPr>
            </w:pPr>
          </w:p>
        </w:tc>
        <w:tc>
          <w:tcPr>
            <w:tcW w:w="1114" w:type="dxa"/>
            <w:tcBorders>
              <w:top w:val="nil"/>
              <w:left w:val="nil"/>
              <w:right w:val="nil"/>
            </w:tcBorders>
            <w:shd w:val="clear" w:color="auto" w:fill="FFFFFF"/>
            <w:vAlign w:val="center"/>
          </w:tcPr>
          <w:p w14:paraId="02C392D2" w14:textId="77777777" w:rsidR="00212E31" w:rsidRPr="00990E10" w:rsidRDefault="00212E31" w:rsidP="00FA529D">
            <w:pPr>
              <w:jc w:val="center"/>
              <w:rPr>
                <w:rFonts w:ascii="Arial" w:hAnsi="Arial" w:cs="Arial"/>
                <w:sz w:val="18"/>
                <w:szCs w:val="18"/>
              </w:rPr>
            </w:pPr>
          </w:p>
        </w:tc>
        <w:tc>
          <w:tcPr>
            <w:tcW w:w="0" w:type="auto"/>
            <w:tcBorders>
              <w:top w:val="nil"/>
              <w:left w:val="nil"/>
              <w:right w:val="nil"/>
            </w:tcBorders>
            <w:shd w:val="clear" w:color="auto" w:fill="FFFFFF"/>
            <w:noWrap/>
            <w:vAlign w:val="center"/>
          </w:tcPr>
          <w:p w14:paraId="06092535" w14:textId="50CD6542" w:rsidR="00212E31" w:rsidRDefault="00212E31" w:rsidP="00FA529D">
            <w:pPr>
              <w:jc w:val="center"/>
              <w:rPr>
                <w:rFonts w:ascii="Arial" w:hAnsi="Arial" w:cs="Arial"/>
                <w:sz w:val="18"/>
                <w:szCs w:val="18"/>
              </w:rPr>
            </w:pPr>
            <w:r>
              <w:rPr>
                <w:rFonts w:ascii="Arial" w:hAnsi="Arial" w:cs="Arial"/>
                <w:sz w:val="18"/>
                <w:szCs w:val="18"/>
              </w:rPr>
              <w:t>Synth. Al. MG OSL</w:t>
            </w:r>
          </w:p>
        </w:tc>
        <w:tc>
          <w:tcPr>
            <w:tcW w:w="0" w:type="auto"/>
            <w:tcBorders>
              <w:top w:val="nil"/>
              <w:left w:val="nil"/>
              <w:right w:val="nil"/>
            </w:tcBorders>
            <w:shd w:val="clear" w:color="auto" w:fill="FFFFFF"/>
            <w:noWrap/>
            <w:vAlign w:val="center"/>
          </w:tcPr>
          <w:p w14:paraId="27E5180E" w14:textId="4BD64A38" w:rsidR="00212E31" w:rsidRPr="00990E10" w:rsidRDefault="00212E31" w:rsidP="00FA529D">
            <w:pPr>
              <w:jc w:val="center"/>
              <w:rPr>
                <w:rFonts w:ascii="Arial" w:hAnsi="Arial" w:cs="Arial"/>
                <w:sz w:val="18"/>
                <w:szCs w:val="18"/>
              </w:rPr>
            </w:pPr>
            <w:r>
              <w:rPr>
                <w:rFonts w:ascii="Arial" w:hAnsi="Arial" w:cs="Arial"/>
                <w:sz w:val="18"/>
                <w:szCs w:val="18"/>
              </w:rPr>
              <w:t>21 / 23</w:t>
            </w:r>
          </w:p>
        </w:tc>
        <w:tc>
          <w:tcPr>
            <w:tcW w:w="1125" w:type="dxa"/>
            <w:tcBorders>
              <w:top w:val="nil"/>
              <w:left w:val="nil"/>
            </w:tcBorders>
            <w:shd w:val="clear" w:color="auto" w:fill="FFFFFF"/>
            <w:noWrap/>
            <w:vAlign w:val="center"/>
          </w:tcPr>
          <w:p w14:paraId="1AD89499" w14:textId="0C09E5BF" w:rsidR="00212E31" w:rsidRPr="00990E10" w:rsidRDefault="00212E31" w:rsidP="00FA529D">
            <w:pPr>
              <w:jc w:val="center"/>
              <w:rPr>
                <w:rFonts w:ascii="Arial" w:hAnsi="Arial" w:cs="Arial"/>
                <w:sz w:val="18"/>
                <w:szCs w:val="18"/>
              </w:rPr>
            </w:pPr>
            <w:r>
              <w:rPr>
                <w:rFonts w:ascii="Arial" w:hAnsi="Arial" w:cs="Arial"/>
                <w:sz w:val="18"/>
                <w:szCs w:val="18"/>
              </w:rPr>
              <w:t>35</w:t>
            </w:r>
            <w:r w:rsidRPr="00FA529D">
              <w:rPr>
                <w:rFonts w:ascii="Arial" w:hAnsi="Arial" w:cs="Arial"/>
                <w:sz w:val="18"/>
                <w:szCs w:val="18"/>
              </w:rPr>
              <w:t xml:space="preserve"> ±</w:t>
            </w:r>
            <w:r>
              <w:rPr>
                <w:rFonts w:ascii="Arial" w:hAnsi="Arial" w:cs="Arial"/>
                <w:sz w:val="18"/>
                <w:szCs w:val="18"/>
              </w:rPr>
              <w:t xml:space="preserve"> 7</w:t>
            </w:r>
          </w:p>
        </w:tc>
        <w:tc>
          <w:tcPr>
            <w:tcW w:w="818" w:type="dxa"/>
            <w:tcBorders>
              <w:top w:val="nil"/>
            </w:tcBorders>
            <w:shd w:val="clear" w:color="auto" w:fill="FFFFFF"/>
            <w:vAlign w:val="center"/>
          </w:tcPr>
          <w:p w14:paraId="01C97E50" w14:textId="64C8C227" w:rsidR="00212E31" w:rsidRPr="00990E10" w:rsidRDefault="00212E31" w:rsidP="00FA529D">
            <w:pPr>
              <w:jc w:val="center"/>
              <w:rPr>
                <w:rFonts w:ascii="Arial" w:hAnsi="Arial" w:cs="Arial"/>
                <w:sz w:val="18"/>
                <w:szCs w:val="18"/>
              </w:rPr>
            </w:pPr>
            <w:r w:rsidRPr="00FA529D">
              <w:rPr>
                <w:rFonts w:ascii="Arial" w:hAnsi="Arial" w:cs="Arial"/>
                <w:sz w:val="18"/>
                <w:szCs w:val="18"/>
              </w:rPr>
              <w:t>CAM</w:t>
            </w:r>
          </w:p>
        </w:tc>
        <w:tc>
          <w:tcPr>
            <w:tcW w:w="914" w:type="dxa"/>
            <w:tcBorders>
              <w:top w:val="nil"/>
            </w:tcBorders>
            <w:shd w:val="clear" w:color="auto" w:fill="FFFFFF"/>
            <w:vAlign w:val="center"/>
          </w:tcPr>
          <w:p w14:paraId="29FF768A" w14:textId="38C9250A" w:rsidR="00212E31" w:rsidRPr="00990E10" w:rsidRDefault="00212E31" w:rsidP="00FA529D">
            <w:pPr>
              <w:jc w:val="center"/>
              <w:rPr>
                <w:rFonts w:ascii="Arial" w:hAnsi="Arial" w:cs="Arial"/>
                <w:sz w:val="18"/>
                <w:szCs w:val="18"/>
              </w:rPr>
            </w:pPr>
            <w:r>
              <w:rPr>
                <w:rFonts w:ascii="Arial" w:hAnsi="Arial" w:cs="Arial"/>
                <w:sz w:val="18"/>
                <w:szCs w:val="18"/>
              </w:rPr>
              <w:t>290</w:t>
            </w:r>
            <w:r w:rsidRPr="00FA529D">
              <w:rPr>
                <w:rFonts w:ascii="Arial" w:hAnsi="Arial" w:cs="Arial"/>
                <w:sz w:val="18"/>
                <w:szCs w:val="18"/>
              </w:rPr>
              <w:t xml:space="preserve"> ±</w:t>
            </w:r>
            <w:r>
              <w:rPr>
                <w:rFonts w:ascii="Arial" w:hAnsi="Arial" w:cs="Arial"/>
                <w:sz w:val="18"/>
                <w:szCs w:val="18"/>
              </w:rPr>
              <w:t xml:space="preserve"> 25</w:t>
            </w:r>
          </w:p>
        </w:tc>
        <w:tc>
          <w:tcPr>
            <w:tcW w:w="1214" w:type="dxa"/>
            <w:tcBorders>
              <w:top w:val="nil"/>
              <w:left w:val="nil"/>
              <w:right w:val="nil"/>
            </w:tcBorders>
            <w:shd w:val="clear" w:color="auto" w:fill="FFFFFF"/>
            <w:vAlign w:val="center"/>
          </w:tcPr>
          <w:p w14:paraId="48735DCF" w14:textId="41FE5B9E" w:rsidR="00212E31" w:rsidRPr="00990E10" w:rsidRDefault="00212E31" w:rsidP="00FA529D">
            <w:pPr>
              <w:jc w:val="center"/>
              <w:rPr>
                <w:rFonts w:ascii="Arial" w:hAnsi="Arial" w:cs="Arial"/>
                <w:sz w:val="18"/>
                <w:szCs w:val="18"/>
              </w:rPr>
            </w:pPr>
            <w:r>
              <w:rPr>
                <w:rFonts w:ascii="Arial" w:hAnsi="Arial" w:cs="Arial"/>
                <w:sz w:val="18"/>
                <w:szCs w:val="18"/>
              </w:rPr>
              <w:t>130.8</w:t>
            </w:r>
            <w:r w:rsidRPr="00FA529D">
              <w:rPr>
                <w:rFonts w:ascii="Arial" w:hAnsi="Arial" w:cs="Arial"/>
                <w:sz w:val="18"/>
                <w:szCs w:val="18"/>
              </w:rPr>
              <w:t xml:space="preserve"> ±</w:t>
            </w:r>
            <w:r>
              <w:rPr>
                <w:rFonts w:ascii="Arial" w:hAnsi="Arial" w:cs="Arial"/>
                <w:sz w:val="18"/>
                <w:szCs w:val="18"/>
              </w:rPr>
              <w:t xml:space="preserve"> 13.4</w:t>
            </w:r>
          </w:p>
        </w:tc>
      </w:tr>
      <w:tr w:rsidR="00212E31" w:rsidRPr="009E1913" w14:paraId="70D3A23C" w14:textId="77777777" w:rsidTr="00973037">
        <w:trPr>
          <w:trHeight w:val="315"/>
          <w:jc w:val="center"/>
        </w:trPr>
        <w:tc>
          <w:tcPr>
            <w:tcW w:w="1225" w:type="dxa"/>
            <w:tcBorders>
              <w:left w:val="nil"/>
              <w:right w:val="nil"/>
            </w:tcBorders>
            <w:shd w:val="clear" w:color="auto" w:fill="FFFFFF"/>
            <w:noWrap/>
            <w:vAlign w:val="center"/>
          </w:tcPr>
          <w:p w14:paraId="08401BE9" w14:textId="65EAB8B2" w:rsidR="00212E31" w:rsidRPr="009E1913" w:rsidRDefault="00212E31" w:rsidP="00FA529D">
            <w:pPr>
              <w:rPr>
                <w:rFonts w:ascii="Arial" w:hAnsi="Arial" w:cs="Arial"/>
                <w:sz w:val="18"/>
                <w:szCs w:val="18"/>
              </w:rPr>
            </w:pPr>
            <w:r w:rsidRPr="00990E10">
              <w:rPr>
                <w:rFonts w:ascii="Arial" w:hAnsi="Arial" w:cs="Arial"/>
                <w:sz w:val="18"/>
                <w:szCs w:val="18"/>
              </w:rPr>
              <w:t>LM17188-02</w:t>
            </w:r>
          </w:p>
        </w:tc>
        <w:tc>
          <w:tcPr>
            <w:tcW w:w="675" w:type="dxa"/>
            <w:tcBorders>
              <w:left w:val="nil"/>
              <w:right w:val="nil"/>
            </w:tcBorders>
            <w:shd w:val="clear" w:color="auto" w:fill="FFFFFF"/>
            <w:vAlign w:val="center"/>
          </w:tcPr>
          <w:p w14:paraId="2F86BDA9" w14:textId="1A1F1B0D" w:rsidR="00212E31" w:rsidRPr="009E1913" w:rsidRDefault="00212E31" w:rsidP="00FA529D">
            <w:pPr>
              <w:jc w:val="center"/>
              <w:rPr>
                <w:rFonts w:ascii="Arial" w:hAnsi="Arial" w:cs="Arial"/>
                <w:sz w:val="18"/>
                <w:szCs w:val="18"/>
              </w:rPr>
            </w:pPr>
            <w:r>
              <w:rPr>
                <w:rFonts w:ascii="Arial" w:hAnsi="Arial" w:cs="Arial"/>
                <w:sz w:val="18"/>
                <w:szCs w:val="18"/>
              </w:rPr>
              <w:t>FM5</w:t>
            </w:r>
          </w:p>
        </w:tc>
        <w:tc>
          <w:tcPr>
            <w:tcW w:w="1075" w:type="dxa"/>
            <w:tcBorders>
              <w:left w:val="nil"/>
              <w:right w:val="nil"/>
            </w:tcBorders>
            <w:shd w:val="clear" w:color="auto" w:fill="FFFFFF"/>
            <w:vAlign w:val="center"/>
          </w:tcPr>
          <w:p w14:paraId="1E7B74EA" w14:textId="6694DAAF" w:rsidR="00212E31" w:rsidRPr="009E1913" w:rsidRDefault="00212E31" w:rsidP="00FA529D">
            <w:pPr>
              <w:jc w:val="center"/>
              <w:rPr>
                <w:rFonts w:ascii="Arial" w:hAnsi="Arial" w:cs="Arial"/>
                <w:sz w:val="18"/>
                <w:szCs w:val="18"/>
              </w:rPr>
            </w:pPr>
            <w:r w:rsidRPr="00990E10">
              <w:rPr>
                <w:rFonts w:ascii="Arial" w:hAnsi="Arial" w:cs="Arial"/>
                <w:sz w:val="18"/>
                <w:szCs w:val="18"/>
              </w:rPr>
              <w:t>180 – 212</w:t>
            </w:r>
          </w:p>
        </w:tc>
        <w:tc>
          <w:tcPr>
            <w:tcW w:w="1114" w:type="dxa"/>
            <w:tcBorders>
              <w:left w:val="nil"/>
              <w:right w:val="nil"/>
            </w:tcBorders>
            <w:shd w:val="clear" w:color="auto" w:fill="FFFFFF"/>
            <w:vAlign w:val="center"/>
          </w:tcPr>
          <w:p w14:paraId="6DB8AB5D" w14:textId="1822CD53" w:rsidR="00212E31" w:rsidRPr="00990E10" w:rsidRDefault="00212E31" w:rsidP="00FA529D">
            <w:pPr>
              <w:jc w:val="center"/>
              <w:rPr>
                <w:rFonts w:ascii="Arial" w:hAnsi="Arial" w:cs="Arial"/>
                <w:sz w:val="18"/>
                <w:szCs w:val="18"/>
              </w:rPr>
            </w:pPr>
            <w:r w:rsidRPr="00990E10">
              <w:rPr>
                <w:rFonts w:ascii="Arial" w:hAnsi="Arial" w:cs="Arial"/>
                <w:sz w:val="18"/>
                <w:szCs w:val="18"/>
              </w:rPr>
              <w:t>2.26 ± 0.12</w:t>
            </w:r>
          </w:p>
        </w:tc>
        <w:tc>
          <w:tcPr>
            <w:tcW w:w="0" w:type="auto"/>
            <w:tcBorders>
              <w:left w:val="nil"/>
              <w:right w:val="nil"/>
            </w:tcBorders>
            <w:shd w:val="clear" w:color="auto" w:fill="FFFFFF"/>
            <w:noWrap/>
            <w:vAlign w:val="center"/>
          </w:tcPr>
          <w:p w14:paraId="6E39C0D8" w14:textId="792F5697" w:rsidR="00212E31" w:rsidRPr="009E1913" w:rsidRDefault="00212E31" w:rsidP="00FA529D">
            <w:pPr>
              <w:jc w:val="center"/>
              <w:rPr>
                <w:rFonts w:ascii="Arial" w:hAnsi="Arial" w:cs="Arial"/>
                <w:sz w:val="18"/>
                <w:szCs w:val="18"/>
              </w:rPr>
            </w:pPr>
            <w:r>
              <w:rPr>
                <w:rFonts w:ascii="Arial" w:hAnsi="Arial" w:cs="Arial"/>
                <w:sz w:val="18"/>
                <w:szCs w:val="18"/>
              </w:rPr>
              <w:t>SG OSL</w:t>
            </w:r>
          </w:p>
        </w:tc>
        <w:tc>
          <w:tcPr>
            <w:tcW w:w="0" w:type="auto"/>
            <w:tcBorders>
              <w:left w:val="nil"/>
              <w:right w:val="nil"/>
            </w:tcBorders>
            <w:shd w:val="clear" w:color="auto" w:fill="FFFFFF"/>
            <w:noWrap/>
            <w:vAlign w:val="center"/>
          </w:tcPr>
          <w:p w14:paraId="38A8093E" w14:textId="39FE7FF1" w:rsidR="00212E31" w:rsidRPr="009E1913" w:rsidRDefault="00212E31" w:rsidP="00FA529D">
            <w:pPr>
              <w:jc w:val="center"/>
              <w:rPr>
                <w:rFonts w:ascii="Arial" w:hAnsi="Arial" w:cs="Arial"/>
                <w:sz w:val="18"/>
                <w:szCs w:val="18"/>
              </w:rPr>
            </w:pPr>
            <w:r w:rsidRPr="00990E10">
              <w:rPr>
                <w:rFonts w:ascii="Arial" w:hAnsi="Arial" w:cs="Arial"/>
                <w:sz w:val="18"/>
                <w:szCs w:val="18"/>
              </w:rPr>
              <w:t>240 / 2700</w:t>
            </w:r>
          </w:p>
        </w:tc>
        <w:tc>
          <w:tcPr>
            <w:tcW w:w="1125" w:type="dxa"/>
            <w:tcBorders>
              <w:left w:val="nil"/>
            </w:tcBorders>
            <w:shd w:val="clear" w:color="auto" w:fill="FFFFFF"/>
            <w:noWrap/>
            <w:vAlign w:val="center"/>
          </w:tcPr>
          <w:p w14:paraId="21776338" w14:textId="4497DE31" w:rsidR="00212E31" w:rsidRPr="009E1913" w:rsidRDefault="00212E31" w:rsidP="00FA529D">
            <w:pPr>
              <w:jc w:val="center"/>
              <w:rPr>
                <w:rFonts w:ascii="Arial" w:hAnsi="Arial" w:cs="Arial"/>
                <w:sz w:val="18"/>
                <w:szCs w:val="18"/>
              </w:rPr>
            </w:pPr>
            <w:r w:rsidRPr="00990E10">
              <w:rPr>
                <w:rFonts w:ascii="Arial" w:hAnsi="Arial" w:cs="Arial"/>
                <w:sz w:val="18"/>
                <w:szCs w:val="18"/>
              </w:rPr>
              <w:t>45 ± 3</w:t>
            </w:r>
          </w:p>
        </w:tc>
        <w:tc>
          <w:tcPr>
            <w:tcW w:w="818" w:type="dxa"/>
            <w:shd w:val="clear" w:color="auto" w:fill="FFFFFF"/>
            <w:vAlign w:val="center"/>
          </w:tcPr>
          <w:p w14:paraId="7C26310F" w14:textId="1133D445" w:rsidR="00212E31" w:rsidRPr="009E1913" w:rsidRDefault="00212E31" w:rsidP="00FA529D">
            <w:pPr>
              <w:jc w:val="center"/>
              <w:rPr>
                <w:rFonts w:ascii="Arial" w:hAnsi="Arial" w:cs="Arial"/>
                <w:sz w:val="18"/>
                <w:szCs w:val="18"/>
              </w:rPr>
            </w:pPr>
            <w:r w:rsidRPr="00990E10">
              <w:rPr>
                <w:rFonts w:ascii="Arial" w:hAnsi="Arial" w:cs="Arial"/>
                <w:sz w:val="18"/>
                <w:szCs w:val="18"/>
              </w:rPr>
              <w:t>CAM</w:t>
            </w:r>
          </w:p>
        </w:tc>
        <w:tc>
          <w:tcPr>
            <w:tcW w:w="914" w:type="dxa"/>
            <w:shd w:val="clear" w:color="auto" w:fill="FFFFFF"/>
            <w:vAlign w:val="center"/>
          </w:tcPr>
          <w:p w14:paraId="603504DB" w14:textId="0C632613" w:rsidR="00212E31" w:rsidRPr="009E1913" w:rsidRDefault="00212E31" w:rsidP="00FA529D">
            <w:pPr>
              <w:jc w:val="center"/>
              <w:rPr>
                <w:rFonts w:ascii="Arial" w:hAnsi="Arial" w:cs="Arial"/>
                <w:sz w:val="18"/>
                <w:szCs w:val="18"/>
              </w:rPr>
            </w:pPr>
            <w:r w:rsidRPr="00990E10">
              <w:rPr>
                <w:rFonts w:ascii="Arial" w:hAnsi="Arial" w:cs="Arial"/>
                <w:sz w:val="18"/>
                <w:szCs w:val="18"/>
              </w:rPr>
              <w:t>202 ± 7</w:t>
            </w:r>
          </w:p>
        </w:tc>
        <w:tc>
          <w:tcPr>
            <w:tcW w:w="1214" w:type="dxa"/>
            <w:tcBorders>
              <w:left w:val="nil"/>
              <w:right w:val="nil"/>
            </w:tcBorders>
            <w:shd w:val="clear" w:color="auto" w:fill="FFFFFF"/>
            <w:vAlign w:val="center"/>
          </w:tcPr>
          <w:p w14:paraId="6D0841DD" w14:textId="52B8538F" w:rsidR="00212E31" w:rsidRPr="009E1913" w:rsidRDefault="00212E31" w:rsidP="00FA529D">
            <w:pPr>
              <w:jc w:val="center"/>
              <w:rPr>
                <w:rFonts w:ascii="Arial" w:hAnsi="Arial" w:cs="Arial"/>
                <w:sz w:val="18"/>
                <w:szCs w:val="18"/>
              </w:rPr>
            </w:pPr>
            <w:r w:rsidRPr="00990E10">
              <w:rPr>
                <w:rFonts w:ascii="Arial" w:hAnsi="Arial" w:cs="Arial"/>
                <w:sz w:val="18"/>
                <w:szCs w:val="18"/>
              </w:rPr>
              <w:t>89.2 ± 6.1</w:t>
            </w:r>
          </w:p>
        </w:tc>
      </w:tr>
      <w:tr w:rsidR="00212E31" w:rsidRPr="009E1913" w14:paraId="40E9346D" w14:textId="77777777" w:rsidTr="00973037">
        <w:trPr>
          <w:trHeight w:val="315"/>
          <w:jc w:val="center"/>
        </w:trPr>
        <w:tc>
          <w:tcPr>
            <w:tcW w:w="1225" w:type="dxa"/>
            <w:tcBorders>
              <w:left w:val="nil"/>
              <w:right w:val="nil"/>
            </w:tcBorders>
            <w:shd w:val="clear" w:color="auto" w:fill="FFFFFF"/>
            <w:noWrap/>
            <w:vAlign w:val="center"/>
          </w:tcPr>
          <w:p w14:paraId="0C4690FB" w14:textId="77777777" w:rsidR="00212E31" w:rsidRPr="00990E10" w:rsidRDefault="00212E31" w:rsidP="00FA529D">
            <w:pPr>
              <w:rPr>
                <w:rFonts w:ascii="Arial" w:hAnsi="Arial" w:cs="Arial"/>
                <w:sz w:val="18"/>
                <w:szCs w:val="18"/>
              </w:rPr>
            </w:pPr>
          </w:p>
        </w:tc>
        <w:tc>
          <w:tcPr>
            <w:tcW w:w="675" w:type="dxa"/>
            <w:tcBorders>
              <w:left w:val="nil"/>
              <w:right w:val="nil"/>
            </w:tcBorders>
            <w:shd w:val="clear" w:color="auto" w:fill="FFFFFF"/>
            <w:vAlign w:val="center"/>
          </w:tcPr>
          <w:p w14:paraId="0A34A648" w14:textId="77777777" w:rsidR="00212E31" w:rsidRDefault="00212E31" w:rsidP="00FA529D">
            <w:pPr>
              <w:jc w:val="center"/>
              <w:rPr>
                <w:rFonts w:ascii="Arial" w:hAnsi="Arial" w:cs="Arial"/>
                <w:sz w:val="18"/>
                <w:szCs w:val="18"/>
              </w:rPr>
            </w:pPr>
          </w:p>
        </w:tc>
        <w:tc>
          <w:tcPr>
            <w:tcW w:w="1075" w:type="dxa"/>
            <w:tcBorders>
              <w:left w:val="nil"/>
              <w:right w:val="nil"/>
            </w:tcBorders>
            <w:shd w:val="clear" w:color="auto" w:fill="FFFFFF"/>
            <w:vAlign w:val="center"/>
          </w:tcPr>
          <w:p w14:paraId="20DBDB5F" w14:textId="77777777" w:rsidR="00212E31" w:rsidRPr="00990E10" w:rsidRDefault="00212E31" w:rsidP="00FA529D">
            <w:pPr>
              <w:jc w:val="center"/>
              <w:rPr>
                <w:rFonts w:ascii="Arial" w:hAnsi="Arial" w:cs="Arial"/>
                <w:sz w:val="18"/>
                <w:szCs w:val="18"/>
              </w:rPr>
            </w:pPr>
          </w:p>
        </w:tc>
        <w:tc>
          <w:tcPr>
            <w:tcW w:w="1114" w:type="dxa"/>
            <w:tcBorders>
              <w:left w:val="nil"/>
              <w:right w:val="nil"/>
            </w:tcBorders>
            <w:shd w:val="clear" w:color="auto" w:fill="FFFFFF"/>
            <w:vAlign w:val="center"/>
          </w:tcPr>
          <w:p w14:paraId="2D7B7C5E" w14:textId="77777777" w:rsidR="00212E31" w:rsidRPr="00990E10" w:rsidRDefault="00212E31" w:rsidP="00FA529D">
            <w:pPr>
              <w:jc w:val="center"/>
              <w:rPr>
                <w:rFonts w:ascii="Arial" w:hAnsi="Arial" w:cs="Arial"/>
                <w:sz w:val="18"/>
                <w:szCs w:val="18"/>
              </w:rPr>
            </w:pPr>
          </w:p>
        </w:tc>
        <w:tc>
          <w:tcPr>
            <w:tcW w:w="0" w:type="auto"/>
            <w:tcBorders>
              <w:left w:val="nil"/>
              <w:right w:val="nil"/>
            </w:tcBorders>
            <w:shd w:val="clear" w:color="auto" w:fill="FFFFFF"/>
            <w:noWrap/>
            <w:vAlign w:val="center"/>
          </w:tcPr>
          <w:p w14:paraId="54AE9058" w14:textId="5C3F141E" w:rsidR="00212E31" w:rsidRDefault="00212E31" w:rsidP="00FA529D">
            <w:pPr>
              <w:jc w:val="center"/>
              <w:rPr>
                <w:rFonts w:ascii="Arial" w:hAnsi="Arial" w:cs="Arial"/>
                <w:sz w:val="18"/>
                <w:szCs w:val="18"/>
              </w:rPr>
            </w:pPr>
            <w:r>
              <w:rPr>
                <w:rFonts w:ascii="Arial" w:hAnsi="Arial" w:cs="Arial"/>
                <w:sz w:val="18"/>
                <w:szCs w:val="18"/>
              </w:rPr>
              <w:t>Synth. Al. MG OSL</w:t>
            </w:r>
          </w:p>
        </w:tc>
        <w:tc>
          <w:tcPr>
            <w:tcW w:w="0" w:type="auto"/>
            <w:tcBorders>
              <w:left w:val="nil"/>
              <w:right w:val="nil"/>
            </w:tcBorders>
            <w:shd w:val="clear" w:color="auto" w:fill="FFFFFF"/>
            <w:noWrap/>
            <w:vAlign w:val="center"/>
          </w:tcPr>
          <w:p w14:paraId="47E46798" w14:textId="7DF96EBF" w:rsidR="00212E31" w:rsidRPr="00990E10" w:rsidRDefault="00212E31" w:rsidP="00FA529D">
            <w:pPr>
              <w:jc w:val="center"/>
              <w:rPr>
                <w:rFonts w:ascii="Arial" w:hAnsi="Arial" w:cs="Arial"/>
                <w:sz w:val="18"/>
                <w:szCs w:val="18"/>
              </w:rPr>
            </w:pPr>
            <w:r>
              <w:rPr>
                <w:rFonts w:ascii="Arial" w:hAnsi="Arial" w:cs="Arial"/>
                <w:sz w:val="18"/>
                <w:szCs w:val="18"/>
              </w:rPr>
              <w:t>25 / 27</w:t>
            </w:r>
          </w:p>
        </w:tc>
        <w:tc>
          <w:tcPr>
            <w:tcW w:w="1125" w:type="dxa"/>
            <w:tcBorders>
              <w:left w:val="nil"/>
            </w:tcBorders>
            <w:shd w:val="clear" w:color="auto" w:fill="FFFFFF"/>
            <w:noWrap/>
            <w:vAlign w:val="center"/>
          </w:tcPr>
          <w:p w14:paraId="20671414" w14:textId="125DB155" w:rsidR="00212E31" w:rsidRPr="00990E10" w:rsidRDefault="00212E31" w:rsidP="00FA529D">
            <w:pPr>
              <w:jc w:val="center"/>
              <w:rPr>
                <w:rFonts w:ascii="Arial" w:hAnsi="Arial" w:cs="Arial"/>
                <w:sz w:val="18"/>
                <w:szCs w:val="18"/>
              </w:rPr>
            </w:pPr>
            <w:r>
              <w:rPr>
                <w:rFonts w:ascii="Arial" w:hAnsi="Arial" w:cs="Arial"/>
                <w:sz w:val="18"/>
                <w:szCs w:val="18"/>
              </w:rPr>
              <w:t>31</w:t>
            </w:r>
            <w:r w:rsidRPr="00FA529D">
              <w:rPr>
                <w:rFonts w:ascii="Arial" w:hAnsi="Arial" w:cs="Arial"/>
                <w:sz w:val="18"/>
                <w:szCs w:val="18"/>
              </w:rPr>
              <w:t xml:space="preserve"> ±</w:t>
            </w:r>
            <w:r>
              <w:rPr>
                <w:rFonts w:ascii="Arial" w:hAnsi="Arial" w:cs="Arial"/>
                <w:sz w:val="18"/>
                <w:szCs w:val="18"/>
              </w:rPr>
              <w:t xml:space="preserve"> 6</w:t>
            </w:r>
          </w:p>
        </w:tc>
        <w:tc>
          <w:tcPr>
            <w:tcW w:w="818" w:type="dxa"/>
            <w:shd w:val="clear" w:color="auto" w:fill="FFFFFF"/>
            <w:vAlign w:val="center"/>
          </w:tcPr>
          <w:p w14:paraId="2D79FF49" w14:textId="3FD058EC" w:rsidR="00212E31" w:rsidRPr="00990E10" w:rsidRDefault="00212E31" w:rsidP="00FA529D">
            <w:pPr>
              <w:jc w:val="center"/>
              <w:rPr>
                <w:rFonts w:ascii="Arial" w:hAnsi="Arial" w:cs="Arial"/>
                <w:sz w:val="18"/>
                <w:szCs w:val="18"/>
              </w:rPr>
            </w:pPr>
            <w:r w:rsidRPr="00FA529D">
              <w:rPr>
                <w:rFonts w:ascii="Arial" w:hAnsi="Arial" w:cs="Arial"/>
                <w:sz w:val="18"/>
                <w:szCs w:val="18"/>
              </w:rPr>
              <w:t>CAM</w:t>
            </w:r>
          </w:p>
        </w:tc>
        <w:tc>
          <w:tcPr>
            <w:tcW w:w="914" w:type="dxa"/>
            <w:shd w:val="clear" w:color="auto" w:fill="FFFFFF"/>
            <w:vAlign w:val="center"/>
          </w:tcPr>
          <w:p w14:paraId="3C4359F4" w14:textId="17D34835" w:rsidR="00212E31" w:rsidRPr="00990E10" w:rsidRDefault="00212E31" w:rsidP="00FA529D">
            <w:pPr>
              <w:jc w:val="center"/>
              <w:rPr>
                <w:rFonts w:ascii="Arial" w:hAnsi="Arial" w:cs="Arial"/>
                <w:sz w:val="18"/>
                <w:szCs w:val="18"/>
              </w:rPr>
            </w:pPr>
            <w:r>
              <w:rPr>
                <w:rFonts w:ascii="Arial" w:hAnsi="Arial" w:cs="Arial"/>
                <w:sz w:val="18"/>
                <w:szCs w:val="18"/>
              </w:rPr>
              <w:t>386</w:t>
            </w:r>
            <w:r w:rsidRPr="00FA529D">
              <w:rPr>
                <w:rFonts w:ascii="Arial" w:hAnsi="Arial" w:cs="Arial"/>
                <w:sz w:val="18"/>
                <w:szCs w:val="18"/>
              </w:rPr>
              <w:t xml:space="preserve"> ±</w:t>
            </w:r>
            <w:r>
              <w:rPr>
                <w:rFonts w:ascii="Arial" w:hAnsi="Arial" w:cs="Arial"/>
                <w:sz w:val="18"/>
                <w:szCs w:val="18"/>
              </w:rPr>
              <w:t xml:space="preserve"> 28</w:t>
            </w:r>
          </w:p>
        </w:tc>
        <w:tc>
          <w:tcPr>
            <w:tcW w:w="1214" w:type="dxa"/>
            <w:tcBorders>
              <w:left w:val="nil"/>
              <w:right w:val="nil"/>
            </w:tcBorders>
            <w:shd w:val="clear" w:color="auto" w:fill="FFFFFF"/>
            <w:vAlign w:val="center"/>
          </w:tcPr>
          <w:p w14:paraId="7EDEB596" w14:textId="6E89274A" w:rsidR="00212E31" w:rsidRPr="00990E10" w:rsidRDefault="00212E31" w:rsidP="00FA529D">
            <w:pPr>
              <w:jc w:val="center"/>
              <w:rPr>
                <w:rFonts w:ascii="Arial" w:hAnsi="Arial" w:cs="Arial"/>
                <w:sz w:val="18"/>
                <w:szCs w:val="18"/>
              </w:rPr>
            </w:pPr>
            <w:r>
              <w:rPr>
                <w:rFonts w:ascii="Arial" w:hAnsi="Arial" w:cs="Arial"/>
                <w:sz w:val="18"/>
                <w:szCs w:val="18"/>
              </w:rPr>
              <w:t>170.3</w:t>
            </w:r>
            <w:r w:rsidRPr="00FA529D">
              <w:rPr>
                <w:rFonts w:ascii="Arial" w:hAnsi="Arial" w:cs="Arial"/>
                <w:sz w:val="18"/>
                <w:szCs w:val="18"/>
              </w:rPr>
              <w:t xml:space="preserve"> ±</w:t>
            </w:r>
            <w:r>
              <w:rPr>
                <w:rFonts w:ascii="Arial" w:hAnsi="Arial" w:cs="Arial"/>
                <w:sz w:val="18"/>
                <w:szCs w:val="18"/>
              </w:rPr>
              <w:t xml:space="preserve"> 15.7</w:t>
            </w:r>
          </w:p>
        </w:tc>
      </w:tr>
      <w:tr w:rsidR="00212E31" w:rsidRPr="009E1913" w14:paraId="58E109A2" w14:textId="77777777" w:rsidTr="00973037">
        <w:trPr>
          <w:trHeight w:val="315"/>
          <w:jc w:val="center"/>
        </w:trPr>
        <w:tc>
          <w:tcPr>
            <w:tcW w:w="1225" w:type="dxa"/>
            <w:tcBorders>
              <w:left w:val="nil"/>
              <w:right w:val="nil"/>
            </w:tcBorders>
            <w:shd w:val="clear" w:color="auto" w:fill="FFFFFF"/>
            <w:noWrap/>
            <w:vAlign w:val="center"/>
          </w:tcPr>
          <w:p w14:paraId="0203C7D2" w14:textId="78BC8517" w:rsidR="00212E31" w:rsidRPr="009E1913" w:rsidRDefault="00212E31" w:rsidP="00FA529D">
            <w:pPr>
              <w:rPr>
                <w:rFonts w:ascii="Arial" w:hAnsi="Arial" w:cs="Arial"/>
                <w:sz w:val="18"/>
                <w:szCs w:val="18"/>
              </w:rPr>
            </w:pPr>
            <w:r w:rsidRPr="00990E10">
              <w:rPr>
                <w:rFonts w:ascii="Arial" w:hAnsi="Arial" w:cs="Arial"/>
                <w:sz w:val="18"/>
                <w:szCs w:val="18"/>
              </w:rPr>
              <w:t>LM17188-03</w:t>
            </w:r>
          </w:p>
        </w:tc>
        <w:tc>
          <w:tcPr>
            <w:tcW w:w="675" w:type="dxa"/>
            <w:tcBorders>
              <w:left w:val="nil"/>
              <w:right w:val="nil"/>
            </w:tcBorders>
            <w:shd w:val="clear" w:color="auto" w:fill="FFFFFF"/>
            <w:vAlign w:val="center"/>
          </w:tcPr>
          <w:p w14:paraId="6F2F3664" w14:textId="28418F8B" w:rsidR="00212E31" w:rsidRPr="009E1913" w:rsidRDefault="00212E31" w:rsidP="00FA529D">
            <w:pPr>
              <w:jc w:val="center"/>
              <w:rPr>
                <w:rFonts w:ascii="Arial" w:hAnsi="Arial" w:cs="Arial"/>
                <w:sz w:val="18"/>
                <w:szCs w:val="18"/>
              </w:rPr>
            </w:pPr>
            <w:r>
              <w:rPr>
                <w:rFonts w:ascii="Arial" w:hAnsi="Arial" w:cs="Arial"/>
                <w:sz w:val="18"/>
                <w:szCs w:val="18"/>
              </w:rPr>
              <w:t>FM6</w:t>
            </w:r>
          </w:p>
        </w:tc>
        <w:tc>
          <w:tcPr>
            <w:tcW w:w="1075" w:type="dxa"/>
            <w:tcBorders>
              <w:left w:val="nil"/>
              <w:right w:val="nil"/>
            </w:tcBorders>
            <w:shd w:val="clear" w:color="auto" w:fill="FFFFFF"/>
            <w:vAlign w:val="center"/>
          </w:tcPr>
          <w:p w14:paraId="661565AE" w14:textId="0126452D" w:rsidR="00212E31" w:rsidRPr="009E1913" w:rsidRDefault="00212E31" w:rsidP="00FA529D">
            <w:pPr>
              <w:jc w:val="center"/>
              <w:rPr>
                <w:rFonts w:ascii="Arial" w:hAnsi="Arial" w:cs="Arial"/>
                <w:sz w:val="18"/>
                <w:szCs w:val="18"/>
              </w:rPr>
            </w:pPr>
            <w:r w:rsidRPr="00990E10">
              <w:rPr>
                <w:rFonts w:ascii="Arial" w:hAnsi="Arial" w:cs="Arial"/>
                <w:sz w:val="18"/>
                <w:szCs w:val="18"/>
              </w:rPr>
              <w:t>180 – 212</w:t>
            </w:r>
          </w:p>
        </w:tc>
        <w:tc>
          <w:tcPr>
            <w:tcW w:w="1114" w:type="dxa"/>
            <w:tcBorders>
              <w:left w:val="nil"/>
              <w:right w:val="nil"/>
            </w:tcBorders>
            <w:shd w:val="clear" w:color="auto" w:fill="FFFFFF"/>
            <w:vAlign w:val="center"/>
          </w:tcPr>
          <w:p w14:paraId="0434575A" w14:textId="0A2BBA4E" w:rsidR="00212E31" w:rsidRPr="00990E10" w:rsidRDefault="00212E31" w:rsidP="00FA529D">
            <w:pPr>
              <w:jc w:val="center"/>
              <w:rPr>
                <w:rFonts w:ascii="Arial" w:hAnsi="Arial" w:cs="Arial"/>
                <w:sz w:val="18"/>
                <w:szCs w:val="18"/>
              </w:rPr>
            </w:pPr>
            <w:r w:rsidRPr="00990E10">
              <w:rPr>
                <w:rFonts w:ascii="Arial" w:hAnsi="Arial" w:cs="Arial"/>
                <w:sz w:val="18"/>
                <w:szCs w:val="18"/>
              </w:rPr>
              <w:t>2.25 ± 0.12</w:t>
            </w:r>
          </w:p>
        </w:tc>
        <w:tc>
          <w:tcPr>
            <w:tcW w:w="0" w:type="auto"/>
            <w:tcBorders>
              <w:left w:val="nil"/>
              <w:right w:val="nil"/>
            </w:tcBorders>
            <w:shd w:val="clear" w:color="auto" w:fill="FFFFFF"/>
            <w:noWrap/>
            <w:vAlign w:val="center"/>
          </w:tcPr>
          <w:p w14:paraId="1805A14C" w14:textId="7E130315" w:rsidR="00212E31" w:rsidRPr="009E1913" w:rsidRDefault="00212E31" w:rsidP="00FA529D">
            <w:pPr>
              <w:jc w:val="center"/>
              <w:rPr>
                <w:rFonts w:ascii="Arial" w:hAnsi="Arial" w:cs="Arial"/>
                <w:sz w:val="18"/>
                <w:szCs w:val="18"/>
              </w:rPr>
            </w:pPr>
            <w:r>
              <w:rPr>
                <w:rFonts w:ascii="Arial" w:hAnsi="Arial" w:cs="Arial"/>
                <w:sz w:val="18"/>
                <w:szCs w:val="18"/>
              </w:rPr>
              <w:t>SG OSL</w:t>
            </w:r>
          </w:p>
        </w:tc>
        <w:tc>
          <w:tcPr>
            <w:tcW w:w="0" w:type="auto"/>
            <w:tcBorders>
              <w:left w:val="nil"/>
              <w:right w:val="nil"/>
            </w:tcBorders>
            <w:shd w:val="clear" w:color="auto" w:fill="FFFFFF"/>
            <w:noWrap/>
            <w:vAlign w:val="center"/>
          </w:tcPr>
          <w:p w14:paraId="2B099B34" w14:textId="737F009D" w:rsidR="00212E31" w:rsidRPr="009E1913" w:rsidRDefault="00212E31" w:rsidP="00FA529D">
            <w:pPr>
              <w:jc w:val="center"/>
              <w:rPr>
                <w:rFonts w:ascii="Arial" w:hAnsi="Arial" w:cs="Arial"/>
                <w:sz w:val="18"/>
                <w:szCs w:val="18"/>
              </w:rPr>
            </w:pPr>
            <w:r w:rsidRPr="00990E10">
              <w:rPr>
                <w:rFonts w:ascii="Arial" w:hAnsi="Arial" w:cs="Arial"/>
                <w:sz w:val="18"/>
                <w:szCs w:val="18"/>
              </w:rPr>
              <w:t>253 / 3600</w:t>
            </w:r>
          </w:p>
        </w:tc>
        <w:tc>
          <w:tcPr>
            <w:tcW w:w="1125" w:type="dxa"/>
            <w:tcBorders>
              <w:left w:val="nil"/>
            </w:tcBorders>
            <w:shd w:val="clear" w:color="auto" w:fill="FFFFFF"/>
            <w:noWrap/>
            <w:vAlign w:val="center"/>
          </w:tcPr>
          <w:p w14:paraId="2A93F561" w14:textId="046A78AF" w:rsidR="00212E31" w:rsidRPr="009E1913" w:rsidRDefault="00212E31" w:rsidP="00FA529D">
            <w:pPr>
              <w:jc w:val="center"/>
              <w:rPr>
                <w:rFonts w:ascii="Arial" w:hAnsi="Arial" w:cs="Arial"/>
                <w:sz w:val="18"/>
                <w:szCs w:val="18"/>
              </w:rPr>
            </w:pPr>
            <w:r w:rsidRPr="00990E10">
              <w:rPr>
                <w:rFonts w:ascii="Arial" w:hAnsi="Arial" w:cs="Arial"/>
                <w:sz w:val="18"/>
                <w:szCs w:val="18"/>
              </w:rPr>
              <w:t>35 ± 3</w:t>
            </w:r>
          </w:p>
        </w:tc>
        <w:tc>
          <w:tcPr>
            <w:tcW w:w="818" w:type="dxa"/>
            <w:shd w:val="clear" w:color="auto" w:fill="FFFFFF"/>
            <w:vAlign w:val="center"/>
          </w:tcPr>
          <w:p w14:paraId="09395BC4" w14:textId="03A47BFD" w:rsidR="00212E31" w:rsidRPr="009E1913" w:rsidRDefault="00212E31" w:rsidP="00FA529D">
            <w:pPr>
              <w:jc w:val="center"/>
              <w:rPr>
                <w:rFonts w:ascii="Arial" w:hAnsi="Arial" w:cs="Arial"/>
                <w:sz w:val="18"/>
                <w:szCs w:val="18"/>
              </w:rPr>
            </w:pPr>
            <w:r w:rsidRPr="00990E10">
              <w:rPr>
                <w:rFonts w:ascii="Arial" w:hAnsi="Arial" w:cs="Arial"/>
                <w:sz w:val="18"/>
                <w:szCs w:val="18"/>
              </w:rPr>
              <w:t>CAM</w:t>
            </w:r>
          </w:p>
        </w:tc>
        <w:tc>
          <w:tcPr>
            <w:tcW w:w="914" w:type="dxa"/>
            <w:shd w:val="clear" w:color="auto" w:fill="FFFFFF"/>
            <w:vAlign w:val="center"/>
          </w:tcPr>
          <w:p w14:paraId="7882134A" w14:textId="5835450B" w:rsidR="00212E31" w:rsidRPr="009E1913" w:rsidRDefault="00212E31" w:rsidP="00FA529D">
            <w:pPr>
              <w:jc w:val="center"/>
              <w:rPr>
                <w:rFonts w:ascii="Arial" w:hAnsi="Arial" w:cs="Arial"/>
                <w:sz w:val="18"/>
                <w:szCs w:val="18"/>
              </w:rPr>
            </w:pPr>
            <w:r w:rsidRPr="00990E10">
              <w:rPr>
                <w:rFonts w:ascii="Arial" w:hAnsi="Arial" w:cs="Arial"/>
                <w:sz w:val="18"/>
                <w:szCs w:val="18"/>
              </w:rPr>
              <w:t>251 ± 7</w:t>
            </w:r>
          </w:p>
        </w:tc>
        <w:tc>
          <w:tcPr>
            <w:tcW w:w="1214" w:type="dxa"/>
            <w:tcBorders>
              <w:left w:val="nil"/>
              <w:right w:val="nil"/>
            </w:tcBorders>
            <w:shd w:val="clear" w:color="auto" w:fill="FFFFFF"/>
            <w:vAlign w:val="center"/>
          </w:tcPr>
          <w:p w14:paraId="312AFAB7" w14:textId="0EA69050" w:rsidR="00212E31" w:rsidRPr="009E1913" w:rsidRDefault="00212E31" w:rsidP="00FA529D">
            <w:pPr>
              <w:jc w:val="center"/>
              <w:rPr>
                <w:rFonts w:ascii="Arial" w:hAnsi="Arial" w:cs="Arial"/>
                <w:sz w:val="18"/>
                <w:szCs w:val="18"/>
              </w:rPr>
            </w:pPr>
            <w:r w:rsidRPr="00990E10">
              <w:rPr>
                <w:rFonts w:ascii="Arial" w:hAnsi="Arial" w:cs="Arial"/>
                <w:sz w:val="18"/>
                <w:szCs w:val="18"/>
              </w:rPr>
              <w:t>111.5 ± 7.2</w:t>
            </w:r>
          </w:p>
        </w:tc>
      </w:tr>
      <w:tr w:rsidR="00212E31" w:rsidRPr="009E1913" w14:paraId="122C4247" w14:textId="77777777" w:rsidTr="00973037">
        <w:trPr>
          <w:trHeight w:val="315"/>
          <w:jc w:val="center"/>
        </w:trPr>
        <w:tc>
          <w:tcPr>
            <w:tcW w:w="1225" w:type="dxa"/>
            <w:tcBorders>
              <w:left w:val="nil"/>
              <w:right w:val="nil"/>
            </w:tcBorders>
            <w:shd w:val="clear" w:color="auto" w:fill="FFFFFF"/>
            <w:noWrap/>
            <w:vAlign w:val="center"/>
          </w:tcPr>
          <w:p w14:paraId="72C7EF81" w14:textId="77777777" w:rsidR="00212E31" w:rsidRPr="00990E10" w:rsidRDefault="00212E31" w:rsidP="00FA529D">
            <w:pPr>
              <w:rPr>
                <w:rFonts w:ascii="Arial" w:hAnsi="Arial" w:cs="Arial"/>
                <w:sz w:val="18"/>
                <w:szCs w:val="18"/>
              </w:rPr>
            </w:pPr>
          </w:p>
        </w:tc>
        <w:tc>
          <w:tcPr>
            <w:tcW w:w="675" w:type="dxa"/>
            <w:tcBorders>
              <w:left w:val="nil"/>
              <w:right w:val="nil"/>
            </w:tcBorders>
            <w:shd w:val="clear" w:color="auto" w:fill="FFFFFF"/>
            <w:vAlign w:val="center"/>
          </w:tcPr>
          <w:p w14:paraId="7B3C0F90" w14:textId="77777777" w:rsidR="00212E31" w:rsidRDefault="00212E31" w:rsidP="00FA529D">
            <w:pPr>
              <w:jc w:val="center"/>
              <w:rPr>
                <w:rFonts w:ascii="Arial" w:hAnsi="Arial" w:cs="Arial"/>
                <w:sz w:val="18"/>
                <w:szCs w:val="18"/>
              </w:rPr>
            </w:pPr>
          </w:p>
        </w:tc>
        <w:tc>
          <w:tcPr>
            <w:tcW w:w="1075" w:type="dxa"/>
            <w:tcBorders>
              <w:left w:val="nil"/>
              <w:right w:val="nil"/>
            </w:tcBorders>
            <w:shd w:val="clear" w:color="auto" w:fill="FFFFFF"/>
            <w:vAlign w:val="center"/>
          </w:tcPr>
          <w:p w14:paraId="4A2E0737" w14:textId="77777777" w:rsidR="00212E31" w:rsidRPr="00990E10" w:rsidRDefault="00212E31" w:rsidP="00FA529D">
            <w:pPr>
              <w:jc w:val="center"/>
              <w:rPr>
                <w:rFonts w:ascii="Arial" w:hAnsi="Arial" w:cs="Arial"/>
                <w:sz w:val="18"/>
                <w:szCs w:val="18"/>
              </w:rPr>
            </w:pPr>
          </w:p>
        </w:tc>
        <w:tc>
          <w:tcPr>
            <w:tcW w:w="1114" w:type="dxa"/>
            <w:tcBorders>
              <w:left w:val="nil"/>
              <w:right w:val="nil"/>
            </w:tcBorders>
            <w:shd w:val="clear" w:color="auto" w:fill="FFFFFF"/>
            <w:vAlign w:val="center"/>
          </w:tcPr>
          <w:p w14:paraId="62D7A537" w14:textId="77777777" w:rsidR="00212E31" w:rsidRPr="00990E10" w:rsidRDefault="00212E31" w:rsidP="00FA529D">
            <w:pPr>
              <w:jc w:val="center"/>
              <w:rPr>
                <w:rFonts w:ascii="Arial" w:hAnsi="Arial" w:cs="Arial"/>
                <w:sz w:val="18"/>
                <w:szCs w:val="18"/>
              </w:rPr>
            </w:pPr>
          </w:p>
        </w:tc>
        <w:tc>
          <w:tcPr>
            <w:tcW w:w="0" w:type="auto"/>
            <w:tcBorders>
              <w:left w:val="nil"/>
              <w:right w:val="nil"/>
            </w:tcBorders>
            <w:shd w:val="clear" w:color="auto" w:fill="FFFFFF"/>
            <w:noWrap/>
            <w:vAlign w:val="center"/>
          </w:tcPr>
          <w:p w14:paraId="01D3AA43" w14:textId="75C7CB55" w:rsidR="00212E31" w:rsidRPr="009E1913" w:rsidRDefault="00212E31" w:rsidP="00FA529D">
            <w:pPr>
              <w:jc w:val="center"/>
              <w:rPr>
                <w:rFonts w:ascii="Arial" w:hAnsi="Arial" w:cs="Arial"/>
                <w:sz w:val="18"/>
                <w:szCs w:val="18"/>
              </w:rPr>
            </w:pPr>
            <w:r>
              <w:rPr>
                <w:rFonts w:ascii="Arial" w:hAnsi="Arial" w:cs="Arial"/>
                <w:sz w:val="18"/>
                <w:szCs w:val="18"/>
              </w:rPr>
              <w:t>Synth. Al. MG OSL</w:t>
            </w:r>
          </w:p>
        </w:tc>
        <w:tc>
          <w:tcPr>
            <w:tcW w:w="0" w:type="auto"/>
            <w:tcBorders>
              <w:left w:val="nil"/>
              <w:right w:val="nil"/>
            </w:tcBorders>
            <w:shd w:val="clear" w:color="auto" w:fill="FFFFFF"/>
            <w:noWrap/>
            <w:vAlign w:val="center"/>
          </w:tcPr>
          <w:p w14:paraId="30378031" w14:textId="7D3E5FB3" w:rsidR="00212E31" w:rsidRPr="00990E10" w:rsidRDefault="00212E31" w:rsidP="00FA529D">
            <w:pPr>
              <w:jc w:val="center"/>
              <w:rPr>
                <w:rFonts w:ascii="Arial" w:hAnsi="Arial" w:cs="Arial"/>
                <w:sz w:val="18"/>
                <w:szCs w:val="18"/>
              </w:rPr>
            </w:pPr>
            <w:r>
              <w:rPr>
                <w:rFonts w:ascii="Arial" w:hAnsi="Arial" w:cs="Arial"/>
                <w:sz w:val="18"/>
                <w:szCs w:val="18"/>
              </w:rPr>
              <w:t>34 / 36</w:t>
            </w:r>
          </w:p>
        </w:tc>
        <w:tc>
          <w:tcPr>
            <w:tcW w:w="1125" w:type="dxa"/>
            <w:tcBorders>
              <w:left w:val="nil"/>
            </w:tcBorders>
            <w:shd w:val="clear" w:color="auto" w:fill="FFFFFF"/>
            <w:noWrap/>
            <w:vAlign w:val="center"/>
          </w:tcPr>
          <w:p w14:paraId="5C3DA5F4" w14:textId="2F75AD24" w:rsidR="00212E31" w:rsidRPr="00990E10" w:rsidRDefault="00212E31" w:rsidP="00FA529D">
            <w:pPr>
              <w:jc w:val="center"/>
              <w:rPr>
                <w:rFonts w:ascii="Arial" w:hAnsi="Arial" w:cs="Arial"/>
                <w:sz w:val="18"/>
                <w:szCs w:val="18"/>
              </w:rPr>
            </w:pPr>
            <w:r>
              <w:rPr>
                <w:rFonts w:ascii="Arial" w:hAnsi="Arial" w:cs="Arial"/>
                <w:sz w:val="18"/>
                <w:szCs w:val="18"/>
              </w:rPr>
              <w:t>33</w:t>
            </w:r>
            <w:r w:rsidRPr="00FA529D">
              <w:rPr>
                <w:rFonts w:ascii="Arial" w:hAnsi="Arial" w:cs="Arial"/>
                <w:sz w:val="18"/>
                <w:szCs w:val="18"/>
              </w:rPr>
              <w:t xml:space="preserve"> ±</w:t>
            </w:r>
            <w:r>
              <w:rPr>
                <w:rFonts w:ascii="Arial" w:hAnsi="Arial" w:cs="Arial"/>
                <w:sz w:val="18"/>
                <w:szCs w:val="18"/>
              </w:rPr>
              <w:t xml:space="preserve"> 5</w:t>
            </w:r>
          </w:p>
        </w:tc>
        <w:tc>
          <w:tcPr>
            <w:tcW w:w="818" w:type="dxa"/>
            <w:shd w:val="clear" w:color="auto" w:fill="FFFFFF"/>
            <w:vAlign w:val="center"/>
          </w:tcPr>
          <w:p w14:paraId="44145D6E" w14:textId="3B4AAA54" w:rsidR="00212E31" w:rsidRPr="00990E10" w:rsidRDefault="00212E31" w:rsidP="00FA529D">
            <w:pPr>
              <w:jc w:val="center"/>
              <w:rPr>
                <w:rFonts w:ascii="Arial" w:hAnsi="Arial" w:cs="Arial"/>
                <w:sz w:val="18"/>
                <w:szCs w:val="18"/>
              </w:rPr>
            </w:pPr>
            <w:r w:rsidRPr="00FA529D">
              <w:rPr>
                <w:rFonts w:ascii="Arial" w:hAnsi="Arial" w:cs="Arial"/>
                <w:sz w:val="18"/>
                <w:szCs w:val="18"/>
              </w:rPr>
              <w:t>CAM</w:t>
            </w:r>
          </w:p>
        </w:tc>
        <w:tc>
          <w:tcPr>
            <w:tcW w:w="914" w:type="dxa"/>
            <w:shd w:val="clear" w:color="auto" w:fill="FFFFFF"/>
            <w:vAlign w:val="center"/>
          </w:tcPr>
          <w:p w14:paraId="5C510BFE" w14:textId="2444AD92" w:rsidR="00212E31" w:rsidRPr="00990E10" w:rsidRDefault="00212E31" w:rsidP="00FA529D">
            <w:pPr>
              <w:jc w:val="center"/>
              <w:rPr>
                <w:rFonts w:ascii="Arial" w:hAnsi="Arial" w:cs="Arial"/>
                <w:sz w:val="18"/>
                <w:szCs w:val="18"/>
              </w:rPr>
            </w:pPr>
            <w:r>
              <w:rPr>
                <w:rFonts w:ascii="Arial" w:hAnsi="Arial" w:cs="Arial"/>
                <w:sz w:val="18"/>
                <w:szCs w:val="18"/>
              </w:rPr>
              <w:t>331</w:t>
            </w:r>
            <w:r w:rsidRPr="00FA529D">
              <w:rPr>
                <w:rFonts w:ascii="Arial" w:hAnsi="Arial" w:cs="Arial"/>
                <w:sz w:val="18"/>
                <w:szCs w:val="18"/>
              </w:rPr>
              <w:t xml:space="preserve"> ±</w:t>
            </w:r>
            <w:r>
              <w:rPr>
                <w:rFonts w:ascii="Arial" w:hAnsi="Arial" w:cs="Arial"/>
                <w:sz w:val="18"/>
                <w:szCs w:val="18"/>
              </w:rPr>
              <w:t xml:space="preserve"> 21</w:t>
            </w:r>
          </w:p>
        </w:tc>
        <w:tc>
          <w:tcPr>
            <w:tcW w:w="1214" w:type="dxa"/>
            <w:tcBorders>
              <w:left w:val="nil"/>
              <w:right w:val="nil"/>
            </w:tcBorders>
            <w:shd w:val="clear" w:color="auto" w:fill="FFFFFF"/>
            <w:vAlign w:val="center"/>
          </w:tcPr>
          <w:p w14:paraId="2C45F09B" w14:textId="4109B9CC" w:rsidR="00212E31" w:rsidRPr="00990E10" w:rsidRDefault="00212E31" w:rsidP="00FA529D">
            <w:pPr>
              <w:jc w:val="center"/>
              <w:rPr>
                <w:rFonts w:ascii="Arial" w:hAnsi="Arial" w:cs="Arial"/>
                <w:sz w:val="18"/>
                <w:szCs w:val="18"/>
              </w:rPr>
            </w:pPr>
            <w:r>
              <w:rPr>
                <w:rFonts w:ascii="Arial" w:hAnsi="Arial" w:cs="Arial"/>
                <w:sz w:val="18"/>
                <w:szCs w:val="18"/>
              </w:rPr>
              <w:t>147.0</w:t>
            </w:r>
            <w:r w:rsidRPr="00FA529D">
              <w:rPr>
                <w:rFonts w:ascii="Arial" w:hAnsi="Arial" w:cs="Arial"/>
                <w:sz w:val="18"/>
                <w:szCs w:val="18"/>
              </w:rPr>
              <w:t xml:space="preserve"> ±</w:t>
            </w:r>
            <w:r>
              <w:rPr>
                <w:rFonts w:ascii="Arial" w:hAnsi="Arial" w:cs="Arial"/>
                <w:sz w:val="18"/>
                <w:szCs w:val="18"/>
              </w:rPr>
              <w:t xml:space="preserve"> 12.7</w:t>
            </w:r>
          </w:p>
        </w:tc>
      </w:tr>
      <w:tr w:rsidR="00212E31" w:rsidRPr="009E1913" w14:paraId="7734C7A7" w14:textId="77777777" w:rsidTr="00973037">
        <w:trPr>
          <w:trHeight w:val="315"/>
          <w:jc w:val="center"/>
        </w:trPr>
        <w:tc>
          <w:tcPr>
            <w:tcW w:w="1225" w:type="dxa"/>
            <w:tcBorders>
              <w:left w:val="nil"/>
              <w:right w:val="nil"/>
            </w:tcBorders>
            <w:shd w:val="clear" w:color="auto" w:fill="FFFFFF"/>
            <w:noWrap/>
            <w:vAlign w:val="center"/>
          </w:tcPr>
          <w:p w14:paraId="4C3B6CCF" w14:textId="734AA9EE" w:rsidR="00212E31" w:rsidRPr="009E1913" w:rsidRDefault="00212E31" w:rsidP="00FA529D">
            <w:pPr>
              <w:rPr>
                <w:rFonts w:ascii="Arial" w:hAnsi="Arial" w:cs="Arial"/>
                <w:sz w:val="18"/>
                <w:szCs w:val="18"/>
              </w:rPr>
            </w:pPr>
            <w:r w:rsidRPr="00990E10">
              <w:rPr>
                <w:rFonts w:ascii="Arial" w:hAnsi="Arial" w:cs="Arial"/>
                <w:sz w:val="18"/>
                <w:szCs w:val="18"/>
              </w:rPr>
              <w:t>LM17188-04</w:t>
            </w:r>
          </w:p>
        </w:tc>
        <w:tc>
          <w:tcPr>
            <w:tcW w:w="675" w:type="dxa"/>
            <w:tcBorders>
              <w:left w:val="nil"/>
              <w:right w:val="nil"/>
            </w:tcBorders>
            <w:shd w:val="clear" w:color="auto" w:fill="FFFFFF"/>
            <w:vAlign w:val="center"/>
          </w:tcPr>
          <w:p w14:paraId="0930ACC9" w14:textId="56E61FD5" w:rsidR="00212E31" w:rsidRPr="009E1913" w:rsidRDefault="00212E31" w:rsidP="00FA529D">
            <w:pPr>
              <w:jc w:val="center"/>
              <w:rPr>
                <w:rFonts w:ascii="Arial" w:hAnsi="Arial" w:cs="Arial"/>
                <w:sz w:val="18"/>
                <w:szCs w:val="18"/>
              </w:rPr>
            </w:pPr>
            <w:r>
              <w:rPr>
                <w:rFonts w:ascii="Arial" w:hAnsi="Arial" w:cs="Arial"/>
                <w:sz w:val="18"/>
                <w:szCs w:val="18"/>
              </w:rPr>
              <w:t>FM7</w:t>
            </w:r>
          </w:p>
        </w:tc>
        <w:tc>
          <w:tcPr>
            <w:tcW w:w="1075" w:type="dxa"/>
            <w:tcBorders>
              <w:left w:val="nil"/>
              <w:right w:val="nil"/>
            </w:tcBorders>
            <w:shd w:val="clear" w:color="auto" w:fill="FFFFFF"/>
            <w:vAlign w:val="center"/>
          </w:tcPr>
          <w:p w14:paraId="1ECA1CB0" w14:textId="7E152D8C" w:rsidR="00212E31" w:rsidRPr="009E1913" w:rsidRDefault="00212E31" w:rsidP="00FA529D">
            <w:pPr>
              <w:jc w:val="center"/>
              <w:rPr>
                <w:rFonts w:ascii="Arial" w:hAnsi="Arial" w:cs="Arial"/>
                <w:sz w:val="18"/>
                <w:szCs w:val="18"/>
              </w:rPr>
            </w:pPr>
            <w:r w:rsidRPr="00990E10">
              <w:rPr>
                <w:rFonts w:ascii="Arial" w:hAnsi="Arial" w:cs="Arial"/>
                <w:sz w:val="18"/>
                <w:szCs w:val="18"/>
              </w:rPr>
              <w:t>180 – 212</w:t>
            </w:r>
          </w:p>
        </w:tc>
        <w:tc>
          <w:tcPr>
            <w:tcW w:w="1114" w:type="dxa"/>
            <w:tcBorders>
              <w:left w:val="nil"/>
              <w:right w:val="nil"/>
            </w:tcBorders>
            <w:shd w:val="clear" w:color="auto" w:fill="FFFFFF"/>
            <w:vAlign w:val="center"/>
          </w:tcPr>
          <w:p w14:paraId="3071CF83" w14:textId="4A96EAF2" w:rsidR="00212E31" w:rsidRPr="00990E10" w:rsidRDefault="00212E31" w:rsidP="00FA529D">
            <w:pPr>
              <w:jc w:val="center"/>
              <w:rPr>
                <w:rFonts w:ascii="Arial" w:hAnsi="Arial" w:cs="Arial"/>
                <w:sz w:val="18"/>
                <w:szCs w:val="18"/>
              </w:rPr>
            </w:pPr>
            <w:r w:rsidRPr="00990E10">
              <w:rPr>
                <w:rFonts w:ascii="Arial" w:hAnsi="Arial" w:cs="Arial"/>
                <w:sz w:val="18"/>
                <w:szCs w:val="18"/>
              </w:rPr>
              <w:t>2.28 ± 0.12</w:t>
            </w:r>
          </w:p>
        </w:tc>
        <w:tc>
          <w:tcPr>
            <w:tcW w:w="0" w:type="auto"/>
            <w:tcBorders>
              <w:left w:val="nil"/>
              <w:right w:val="nil"/>
            </w:tcBorders>
            <w:shd w:val="clear" w:color="auto" w:fill="FFFFFF"/>
            <w:noWrap/>
            <w:vAlign w:val="center"/>
          </w:tcPr>
          <w:p w14:paraId="5135579C" w14:textId="0C31AA91" w:rsidR="00212E31" w:rsidRPr="009E1913" w:rsidRDefault="00212E31" w:rsidP="00FA529D">
            <w:pPr>
              <w:jc w:val="center"/>
              <w:rPr>
                <w:rFonts w:ascii="Arial" w:hAnsi="Arial" w:cs="Arial"/>
                <w:sz w:val="18"/>
                <w:szCs w:val="18"/>
              </w:rPr>
            </w:pPr>
            <w:r>
              <w:rPr>
                <w:rFonts w:ascii="Arial" w:hAnsi="Arial" w:cs="Arial"/>
                <w:sz w:val="18"/>
                <w:szCs w:val="18"/>
              </w:rPr>
              <w:t>SG OSL</w:t>
            </w:r>
          </w:p>
        </w:tc>
        <w:tc>
          <w:tcPr>
            <w:tcW w:w="0" w:type="auto"/>
            <w:tcBorders>
              <w:left w:val="nil"/>
              <w:right w:val="nil"/>
            </w:tcBorders>
            <w:shd w:val="clear" w:color="auto" w:fill="FFFFFF"/>
            <w:noWrap/>
            <w:vAlign w:val="center"/>
          </w:tcPr>
          <w:p w14:paraId="066ED537" w14:textId="6A476C7C" w:rsidR="00212E31" w:rsidRPr="009E1913" w:rsidRDefault="00212E31" w:rsidP="00FA529D">
            <w:pPr>
              <w:jc w:val="center"/>
              <w:rPr>
                <w:rFonts w:ascii="Arial" w:hAnsi="Arial" w:cs="Arial"/>
                <w:sz w:val="18"/>
                <w:szCs w:val="18"/>
              </w:rPr>
            </w:pPr>
            <w:r w:rsidRPr="00990E10">
              <w:rPr>
                <w:rFonts w:ascii="Arial" w:hAnsi="Arial" w:cs="Arial"/>
                <w:sz w:val="18"/>
                <w:szCs w:val="18"/>
              </w:rPr>
              <w:t>187 / 2200</w:t>
            </w:r>
          </w:p>
        </w:tc>
        <w:tc>
          <w:tcPr>
            <w:tcW w:w="1125" w:type="dxa"/>
            <w:tcBorders>
              <w:left w:val="nil"/>
            </w:tcBorders>
            <w:shd w:val="clear" w:color="auto" w:fill="FFFFFF"/>
            <w:noWrap/>
            <w:vAlign w:val="center"/>
          </w:tcPr>
          <w:p w14:paraId="64F654C7" w14:textId="26FB1452" w:rsidR="00212E31" w:rsidRPr="009E1913" w:rsidRDefault="00212E31" w:rsidP="00FA529D">
            <w:pPr>
              <w:jc w:val="center"/>
              <w:rPr>
                <w:rFonts w:ascii="Arial" w:hAnsi="Arial" w:cs="Arial"/>
                <w:sz w:val="18"/>
                <w:szCs w:val="18"/>
              </w:rPr>
            </w:pPr>
            <w:r w:rsidRPr="00990E10">
              <w:rPr>
                <w:rFonts w:ascii="Arial" w:hAnsi="Arial" w:cs="Arial"/>
                <w:sz w:val="18"/>
                <w:szCs w:val="18"/>
              </w:rPr>
              <w:t>32 ± 3</w:t>
            </w:r>
          </w:p>
        </w:tc>
        <w:tc>
          <w:tcPr>
            <w:tcW w:w="818" w:type="dxa"/>
            <w:shd w:val="clear" w:color="auto" w:fill="FFFFFF"/>
            <w:vAlign w:val="center"/>
          </w:tcPr>
          <w:p w14:paraId="591F402A" w14:textId="09475DAB" w:rsidR="00212E31" w:rsidRPr="009E1913" w:rsidRDefault="00212E31" w:rsidP="00FA529D">
            <w:pPr>
              <w:jc w:val="center"/>
              <w:rPr>
                <w:rFonts w:ascii="Arial" w:hAnsi="Arial" w:cs="Arial"/>
                <w:sz w:val="18"/>
                <w:szCs w:val="18"/>
              </w:rPr>
            </w:pPr>
            <w:r w:rsidRPr="00990E10">
              <w:rPr>
                <w:rFonts w:ascii="Arial" w:hAnsi="Arial" w:cs="Arial"/>
                <w:sz w:val="18"/>
                <w:szCs w:val="18"/>
              </w:rPr>
              <w:t>CAM</w:t>
            </w:r>
          </w:p>
        </w:tc>
        <w:tc>
          <w:tcPr>
            <w:tcW w:w="914" w:type="dxa"/>
            <w:shd w:val="clear" w:color="auto" w:fill="FFFFFF"/>
            <w:vAlign w:val="center"/>
          </w:tcPr>
          <w:p w14:paraId="1EED7E5A" w14:textId="11E10E5D" w:rsidR="00212E31" w:rsidRPr="009E1913" w:rsidRDefault="00212E31" w:rsidP="00FA529D">
            <w:pPr>
              <w:jc w:val="center"/>
              <w:rPr>
                <w:rFonts w:ascii="Arial" w:hAnsi="Arial" w:cs="Arial"/>
                <w:sz w:val="18"/>
                <w:szCs w:val="18"/>
              </w:rPr>
            </w:pPr>
            <w:r w:rsidRPr="00990E10">
              <w:rPr>
                <w:rFonts w:ascii="Arial" w:hAnsi="Arial" w:cs="Arial"/>
                <w:sz w:val="18"/>
                <w:szCs w:val="18"/>
              </w:rPr>
              <w:t>264 ± 9</w:t>
            </w:r>
          </w:p>
        </w:tc>
        <w:tc>
          <w:tcPr>
            <w:tcW w:w="1214" w:type="dxa"/>
            <w:tcBorders>
              <w:left w:val="nil"/>
              <w:right w:val="nil"/>
            </w:tcBorders>
            <w:shd w:val="clear" w:color="auto" w:fill="FFFFFF"/>
            <w:vAlign w:val="center"/>
          </w:tcPr>
          <w:p w14:paraId="1814F62C" w14:textId="01F0C3D4" w:rsidR="00212E31" w:rsidRPr="009E1913" w:rsidRDefault="00212E31" w:rsidP="00FA529D">
            <w:pPr>
              <w:jc w:val="center"/>
              <w:rPr>
                <w:rFonts w:ascii="Arial" w:hAnsi="Arial" w:cs="Arial"/>
                <w:sz w:val="18"/>
                <w:szCs w:val="18"/>
              </w:rPr>
            </w:pPr>
            <w:r w:rsidRPr="00990E10">
              <w:rPr>
                <w:rFonts w:ascii="Arial" w:hAnsi="Arial" w:cs="Arial"/>
                <w:sz w:val="18"/>
                <w:szCs w:val="18"/>
              </w:rPr>
              <w:t>116.2 ± 7.5</w:t>
            </w:r>
          </w:p>
        </w:tc>
      </w:tr>
      <w:tr w:rsidR="00212E31" w:rsidRPr="009E1913" w14:paraId="5028B597" w14:textId="77777777" w:rsidTr="00973037">
        <w:trPr>
          <w:trHeight w:val="315"/>
          <w:jc w:val="center"/>
        </w:trPr>
        <w:tc>
          <w:tcPr>
            <w:tcW w:w="1225" w:type="dxa"/>
            <w:tcBorders>
              <w:left w:val="nil"/>
              <w:right w:val="nil"/>
            </w:tcBorders>
            <w:shd w:val="clear" w:color="auto" w:fill="FFFFFF"/>
            <w:noWrap/>
            <w:vAlign w:val="center"/>
          </w:tcPr>
          <w:p w14:paraId="6010A6C6" w14:textId="77777777" w:rsidR="00212E31" w:rsidRPr="00990E10" w:rsidRDefault="00212E31" w:rsidP="00FA529D">
            <w:pPr>
              <w:rPr>
                <w:rFonts w:ascii="Arial" w:hAnsi="Arial" w:cs="Arial"/>
                <w:sz w:val="18"/>
                <w:szCs w:val="18"/>
              </w:rPr>
            </w:pPr>
          </w:p>
        </w:tc>
        <w:tc>
          <w:tcPr>
            <w:tcW w:w="675" w:type="dxa"/>
            <w:tcBorders>
              <w:left w:val="nil"/>
              <w:right w:val="nil"/>
            </w:tcBorders>
            <w:shd w:val="clear" w:color="auto" w:fill="FFFFFF"/>
            <w:vAlign w:val="center"/>
          </w:tcPr>
          <w:p w14:paraId="79DAEB98" w14:textId="77777777" w:rsidR="00212E31" w:rsidRDefault="00212E31" w:rsidP="00FA529D">
            <w:pPr>
              <w:jc w:val="center"/>
              <w:rPr>
                <w:rFonts w:ascii="Arial" w:hAnsi="Arial" w:cs="Arial"/>
                <w:sz w:val="18"/>
                <w:szCs w:val="18"/>
              </w:rPr>
            </w:pPr>
          </w:p>
        </w:tc>
        <w:tc>
          <w:tcPr>
            <w:tcW w:w="1075" w:type="dxa"/>
            <w:tcBorders>
              <w:left w:val="nil"/>
              <w:right w:val="nil"/>
            </w:tcBorders>
            <w:shd w:val="clear" w:color="auto" w:fill="FFFFFF"/>
            <w:vAlign w:val="center"/>
          </w:tcPr>
          <w:p w14:paraId="5E8D151C" w14:textId="77777777" w:rsidR="00212E31" w:rsidRPr="00990E10" w:rsidRDefault="00212E31" w:rsidP="00FA529D">
            <w:pPr>
              <w:jc w:val="center"/>
              <w:rPr>
                <w:rFonts w:ascii="Arial" w:hAnsi="Arial" w:cs="Arial"/>
                <w:sz w:val="18"/>
                <w:szCs w:val="18"/>
              </w:rPr>
            </w:pPr>
          </w:p>
        </w:tc>
        <w:tc>
          <w:tcPr>
            <w:tcW w:w="1114" w:type="dxa"/>
            <w:tcBorders>
              <w:left w:val="nil"/>
              <w:right w:val="nil"/>
            </w:tcBorders>
            <w:shd w:val="clear" w:color="auto" w:fill="FFFFFF"/>
            <w:vAlign w:val="center"/>
          </w:tcPr>
          <w:p w14:paraId="656FCCC7" w14:textId="77777777" w:rsidR="00212E31" w:rsidRPr="00990E10" w:rsidRDefault="00212E31" w:rsidP="00FA529D">
            <w:pPr>
              <w:jc w:val="center"/>
              <w:rPr>
                <w:rFonts w:ascii="Arial" w:hAnsi="Arial" w:cs="Arial"/>
                <w:sz w:val="18"/>
                <w:szCs w:val="18"/>
              </w:rPr>
            </w:pPr>
          </w:p>
        </w:tc>
        <w:tc>
          <w:tcPr>
            <w:tcW w:w="0" w:type="auto"/>
            <w:tcBorders>
              <w:left w:val="nil"/>
              <w:right w:val="nil"/>
            </w:tcBorders>
            <w:shd w:val="clear" w:color="auto" w:fill="FFFFFF"/>
            <w:noWrap/>
            <w:vAlign w:val="center"/>
          </w:tcPr>
          <w:p w14:paraId="361AFCDF" w14:textId="70CF8DC3" w:rsidR="00212E31" w:rsidRPr="009E1913" w:rsidRDefault="00212E31" w:rsidP="00FA529D">
            <w:pPr>
              <w:jc w:val="center"/>
              <w:rPr>
                <w:rFonts w:ascii="Arial" w:hAnsi="Arial" w:cs="Arial"/>
                <w:sz w:val="18"/>
                <w:szCs w:val="18"/>
              </w:rPr>
            </w:pPr>
            <w:r>
              <w:rPr>
                <w:rFonts w:ascii="Arial" w:hAnsi="Arial" w:cs="Arial"/>
                <w:sz w:val="18"/>
                <w:szCs w:val="18"/>
              </w:rPr>
              <w:t>Synth. Al. MG OSL</w:t>
            </w:r>
          </w:p>
        </w:tc>
        <w:tc>
          <w:tcPr>
            <w:tcW w:w="0" w:type="auto"/>
            <w:tcBorders>
              <w:left w:val="nil"/>
              <w:right w:val="nil"/>
            </w:tcBorders>
            <w:shd w:val="clear" w:color="auto" w:fill="FFFFFF"/>
            <w:noWrap/>
            <w:vAlign w:val="center"/>
          </w:tcPr>
          <w:p w14:paraId="4463CAA2" w14:textId="408B3C6D" w:rsidR="00212E31" w:rsidRPr="00990E10" w:rsidRDefault="00212E31" w:rsidP="00FA529D">
            <w:pPr>
              <w:jc w:val="center"/>
              <w:rPr>
                <w:rFonts w:ascii="Arial" w:hAnsi="Arial" w:cs="Arial"/>
                <w:sz w:val="18"/>
                <w:szCs w:val="18"/>
              </w:rPr>
            </w:pPr>
            <w:r>
              <w:rPr>
                <w:rFonts w:ascii="Arial" w:hAnsi="Arial" w:cs="Arial"/>
                <w:sz w:val="18"/>
                <w:szCs w:val="18"/>
              </w:rPr>
              <w:t>19 / 22</w:t>
            </w:r>
          </w:p>
        </w:tc>
        <w:tc>
          <w:tcPr>
            <w:tcW w:w="1125" w:type="dxa"/>
            <w:tcBorders>
              <w:left w:val="nil"/>
            </w:tcBorders>
            <w:shd w:val="clear" w:color="auto" w:fill="FFFFFF"/>
            <w:noWrap/>
            <w:vAlign w:val="center"/>
          </w:tcPr>
          <w:p w14:paraId="4361779A" w14:textId="27C5C962" w:rsidR="00212E31" w:rsidRPr="00990E10" w:rsidRDefault="00212E31" w:rsidP="00FA529D">
            <w:pPr>
              <w:jc w:val="center"/>
              <w:rPr>
                <w:rFonts w:ascii="Arial" w:hAnsi="Arial" w:cs="Arial"/>
                <w:sz w:val="18"/>
                <w:szCs w:val="18"/>
              </w:rPr>
            </w:pPr>
            <w:r>
              <w:rPr>
                <w:rFonts w:ascii="Arial" w:hAnsi="Arial" w:cs="Arial"/>
                <w:sz w:val="18"/>
                <w:szCs w:val="18"/>
              </w:rPr>
              <w:t>20</w:t>
            </w:r>
            <w:r w:rsidRPr="00FA529D">
              <w:rPr>
                <w:rFonts w:ascii="Arial" w:hAnsi="Arial" w:cs="Arial"/>
                <w:sz w:val="18"/>
                <w:szCs w:val="18"/>
              </w:rPr>
              <w:t xml:space="preserve"> ±</w:t>
            </w:r>
            <w:r>
              <w:rPr>
                <w:rFonts w:ascii="Arial" w:hAnsi="Arial" w:cs="Arial"/>
                <w:sz w:val="18"/>
                <w:szCs w:val="18"/>
              </w:rPr>
              <w:t xml:space="preserve"> 5</w:t>
            </w:r>
          </w:p>
        </w:tc>
        <w:tc>
          <w:tcPr>
            <w:tcW w:w="818" w:type="dxa"/>
            <w:shd w:val="clear" w:color="auto" w:fill="FFFFFF"/>
            <w:vAlign w:val="center"/>
          </w:tcPr>
          <w:p w14:paraId="0D36251E" w14:textId="48A707C1" w:rsidR="00212E31" w:rsidRPr="00990E10" w:rsidRDefault="00212E31" w:rsidP="00FA529D">
            <w:pPr>
              <w:jc w:val="center"/>
              <w:rPr>
                <w:rFonts w:ascii="Arial" w:hAnsi="Arial" w:cs="Arial"/>
                <w:sz w:val="18"/>
                <w:szCs w:val="18"/>
              </w:rPr>
            </w:pPr>
            <w:r w:rsidRPr="00FA529D">
              <w:rPr>
                <w:rFonts w:ascii="Arial" w:hAnsi="Arial" w:cs="Arial"/>
                <w:sz w:val="18"/>
                <w:szCs w:val="18"/>
              </w:rPr>
              <w:t>CAM</w:t>
            </w:r>
          </w:p>
        </w:tc>
        <w:tc>
          <w:tcPr>
            <w:tcW w:w="914" w:type="dxa"/>
            <w:shd w:val="clear" w:color="auto" w:fill="FFFFFF"/>
            <w:vAlign w:val="center"/>
          </w:tcPr>
          <w:p w14:paraId="713A9F07" w14:textId="2611B368" w:rsidR="00212E31" w:rsidRPr="00990E10" w:rsidRDefault="00212E31" w:rsidP="00FA529D">
            <w:pPr>
              <w:jc w:val="center"/>
              <w:rPr>
                <w:rFonts w:ascii="Arial" w:hAnsi="Arial" w:cs="Arial"/>
                <w:sz w:val="18"/>
                <w:szCs w:val="18"/>
              </w:rPr>
            </w:pPr>
            <w:r>
              <w:rPr>
                <w:rFonts w:ascii="Arial" w:hAnsi="Arial" w:cs="Arial"/>
                <w:sz w:val="18"/>
                <w:szCs w:val="18"/>
              </w:rPr>
              <w:t>313</w:t>
            </w:r>
            <w:r w:rsidRPr="00FA529D">
              <w:rPr>
                <w:rFonts w:ascii="Arial" w:hAnsi="Arial" w:cs="Arial"/>
                <w:sz w:val="18"/>
                <w:szCs w:val="18"/>
              </w:rPr>
              <w:t xml:space="preserve"> ±</w:t>
            </w:r>
            <w:r>
              <w:rPr>
                <w:rFonts w:ascii="Arial" w:hAnsi="Arial" w:cs="Arial"/>
                <w:sz w:val="18"/>
                <w:szCs w:val="18"/>
              </w:rPr>
              <w:t xml:space="preserve"> 18</w:t>
            </w:r>
          </w:p>
        </w:tc>
        <w:tc>
          <w:tcPr>
            <w:tcW w:w="1214" w:type="dxa"/>
            <w:tcBorders>
              <w:left w:val="nil"/>
              <w:right w:val="nil"/>
            </w:tcBorders>
            <w:shd w:val="clear" w:color="auto" w:fill="FFFFFF"/>
            <w:vAlign w:val="center"/>
          </w:tcPr>
          <w:p w14:paraId="70F3B30C" w14:textId="66D9A4DD" w:rsidR="00212E31" w:rsidRPr="00990E10" w:rsidRDefault="00212E31" w:rsidP="00FA529D">
            <w:pPr>
              <w:jc w:val="center"/>
              <w:rPr>
                <w:rFonts w:ascii="Arial" w:hAnsi="Arial" w:cs="Arial"/>
                <w:sz w:val="18"/>
                <w:szCs w:val="18"/>
              </w:rPr>
            </w:pPr>
            <w:r>
              <w:rPr>
                <w:rFonts w:ascii="Arial" w:hAnsi="Arial" w:cs="Arial"/>
                <w:sz w:val="18"/>
                <w:szCs w:val="18"/>
              </w:rPr>
              <w:t>137.8</w:t>
            </w:r>
            <w:r w:rsidRPr="00FA529D">
              <w:rPr>
                <w:rFonts w:ascii="Arial" w:hAnsi="Arial" w:cs="Arial"/>
                <w:sz w:val="18"/>
                <w:szCs w:val="18"/>
              </w:rPr>
              <w:t xml:space="preserve"> ±</w:t>
            </w:r>
            <w:r>
              <w:rPr>
                <w:rFonts w:ascii="Arial" w:hAnsi="Arial" w:cs="Arial"/>
                <w:sz w:val="18"/>
                <w:szCs w:val="18"/>
              </w:rPr>
              <w:t xml:space="preserve"> 11.1</w:t>
            </w:r>
          </w:p>
        </w:tc>
      </w:tr>
      <w:tr w:rsidR="00212E31" w:rsidRPr="009E1913" w14:paraId="2D15AB0E" w14:textId="77777777" w:rsidTr="00973037">
        <w:trPr>
          <w:trHeight w:val="315"/>
          <w:jc w:val="center"/>
        </w:trPr>
        <w:tc>
          <w:tcPr>
            <w:tcW w:w="1225" w:type="dxa"/>
            <w:tcBorders>
              <w:left w:val="nil"/>
              <w:bottom w:val="nil"/>
              <w:right w:val="nil"/>
            </w:tcBorders>
            <w:shd w:val="clear" w:color="auto" w:fill="FFFFFF"/>
            <w:noWrap/>
            <w:vAlign w:val="center"/>
          </w:tcPr>
          <w:p w14:paraId="3EDC516C" w14:textId="126602EE" w:rsidR="00212E31" w:rsidRPr="009E1913" w:rsidRDefault="00212E31" w:rsidP="00FA529D">
            <w:pPr>
              <w:rPr>
                <w:rFonts w:ascii="Arial" w:hAnsi="Arial" w:cs="Arial"/>
                <w:sz w:val="18"/>
                <w:szCs w:val="18"/>
              </w:rPr>
            </w:pPr>
            <w:r w:rsidRPr="00990E10">
              <w:rPr>
                <w:rFonts w:ascii="Arial" w:hAnsi="Arial" w:cs="Arial"/>
                <w:sz w:val="18"/>
                <w:szCs w:val="18"/>
              </w:rPr>
              <w:t>LM17188-05</w:t>
            </w:r>
          </w:p>
        </w:tc>
        <w:tc>
          <w:tcPr>
            <w:tcW w:w="675" w:type="dxa"/>
            <w:tcBorders>
              <w:left w:val="nil"/>
              <w:bottom w:val="nil"/>
              <w:right w:val="nil"/>
            </w:tcBorders>
            <w:shd w:val="clear" w:color="auto" w:fill="FFFFFF"/>
            <w:vAlign w:val="center"/>
          </w:tcPr>
          <w:p w14:paraId="4EDC5D82" w14:textId="1B445ABC" w:rsidR="00212E31" w:rsidRPr="009E1913" w:rsidRDefault="00212E31" w:rsidP="00FA529D">
            <w:pPr>
              <w:jc w:val="center"/>
              <w:rPr>
                <w:rFonts w:ascii="Arial" w:hAnsi="Arial" w:cs="Arial"/>
                <w:sz w:val="18"/>
                <w:szCs w:val="18"/>
              </w:rPr>
            </w:pPr>
            <w:r>
              <w:rPr>
                <w:rFonts w:ascii="Arial" w:hAnsi="Arial" w:cs="Arial"/>
                <w:sz w:val="18"/>
                <w:szCs w:val="18"/>
              </w:rPr>
              <w:t>FM8</w:t>
            </w:r>
          </w:p>
        </w:tc>
        <w:tc>
          <w:tcPr>
            <w:tcW w:w="1075" w:type="dxa"/>
            <w:tcBorders>
              <w:left w:val="nil"/>
              <w:bottom w:val="nil"/>
              <w:right w:val="nil"/>
            </w:tcBorders>
            <w:shd w:val="clear" w:color="auto" w:fill="FFFFFF"/>
            <w:vAlign w:val="center"/>
          </w:tcPr>
          <w:p w14:paraId="252C6A89" w14:textId="413BB29E" w:rsidR="00212E31" w:rsidRPr="009E1913" w:rsidRDefault="00212E31" w:rsidP="00FA529D">
            <w:pPr>
              <w:jc w:val="center"/>
              <w:rPr>
                <w:rFonts w:ascii="Arial" w:hAnsi="Arial" w:cs="Arial"/>
                <w:sz w:val="18"/>
                <w:szCs w:val="18"/>
              </w:rPr>
            </w:pPr>
            <w:r w:rsidRPr="00990E10">
              <w:rPr>
                <w:rFonts w:ascii="Arial" w:hAnsi="Arial" w:cs="Arial"/>
                <w:sz w:val="18"/>
                <w:szCs w:val="18"/>
              </w:rPr>
              <w:t>180 – 212</w:t>
            </w:r>
          </w:p>
        </w:tc>
        <w:tc>
          <w:tcPr>
            <w:tcW w:w="1114" w:type="dxa"/>
            <w:tcBorders>
              <w:left w:val="nil"/>
              <w:bottom w:val="nil"/>
              <w:right w:val="nil"/>
            </w:tcBorders>
            <w:shd w:val="clear" w:color="auto" w:fill="FFFFFF"/>
            <w:vAlign w:val="center"/>
          </w:tcPr>
          <w:p w14:paraId="4685F8B6" w14:textId="1AC030FD" w:rsidR="00212E31" w:rsidRPr="00990E10" w:rsidRDefault="00212E31" w:rsidP="00FA529D">
            <w:pPr>
              <w:jc w:val="center"/>
              <w:rPr>
                <w:rFonts w:ascii="Arial" w:hAnsi="Arial" w:cs="Arial"/>
                <w:sz w:val="18"/>
                <w:szCs w:val="18"/>
              </w:rPr>
            </w:pPr>
            <w:r w:rsidRPr="00990E10">
              <w:rPr>
                <w:rFonts w:ascii="Arial" w:hAnsi="Arial" w:cs="Arial"/>
                <w:sz w:val="18"/>
                <w:szCs w:val="18"/>
              </w:rPr>
              <w:t>2.32 ± 0.13</w:t>
            </w:r>
          </w:p>
        </w:tc>
        <w:tc>
          <w:tcPr>
            <w:tcW w:w="0" w:type="auto"/>
            <w:tcBorders>
              <w:left w:val="nil"/>
              <w:bottom w:val="nil"/>
              <w:right w:val="nil"/>
            </w:tcBorders>
            <w:shd w:val="clear" w:color="auto" w:fill="FFFFFF"/>
            <w:noWrap/>
            <w:vAlign w:val="center"/>
          </w:tcPr>
          <w:p w14:paraId="12B61408" w14:textId="3B01CB0B" w:rsidR="00212E31" w:rsidRPr="009E1913" w:rsidRDefault="00212E31" w:rsidP="00FA529D">
            <w:pPr>
              <w:jc w:val="center"/>
              <w:rPr>
                <w:rFonts w:ascii="Arial" w:hAnsi="Arial" w:cs="Arial"/>
                <w:sz w:val="18"/>
                <w:szCs w:val="18"/>
              </w:rPr>
            </w:pPr>
            <w:r>
              <w:rPr>
                <w:rFonts w:ascii="Arial" w:hAnsi="Arial" w:cs="Arial"/>
                <w:sz w:val="18"/>
                <w:szCs w:val="18"/>
              </w:rPr>
              <w:t>SG OSL</w:t>
            </w:r>
          </w:p>
        </w:tc>
        <w:tc>
          <w:tcPr>
            <w:tcW w:w="0" w:type="auto"/>
            <w:tcBorders>
              <w:left w:val="nil"/>
              <w:bottom w:val="nil"/>
              <w:right w:val="nil"/>
            </w:tcBorders>
            <w:shd w:val="clear" w:color="auto" w:fill="FFFFFF"/>
            <w:noWrap/>
            <w:vAlign w:val="center"/>
          </w:tcPr>
          <w:p w14:paraId="6E2B33E5" w14:textId="5119CF27" w:rsidR="00212E31" w:rsidRPr="009E1913" w:rsidRDefault="00212E31" w:rsidP="00FA529D">
            <w:pPr>
              <w:jc w:val="center"/>
              <w:rPr>
                <w:rFonts w:ascii="Arial" w:hAnsi="Arial" w:cs="Arial"/>
                <w:sz w:val="18"/>
                <w:szCs w:val="18"/>
              </w:rPr>
            </w:pPr>
            <w:r w:rsidRPr="00990E10">
              <w:rPr>
                <w:rFonts w:ascii="Arial" w:hAnsi="Arial" w:cs="Arial"/>
                <w:sz w:val="18"/>
                <w:szCs w:val="18"/>
              </w:rPr>
              <w:t>249 / 2300</w:t>
            </w:r>
          </w:p>
        </w:tc>
        <w:tc>
          <w:tcPr>
            <w:tcW w:w="1125" w:type="dxa"/>
            <w:tcBorders>
              <w:left w:val="nil"/>
              <w:bottom w:val="nil"/>
            </w:tcBorders>
            <w:shd w:val="clear" w:color="auto" w:fill="FFFFFF"/>
            <w:noWrap/>
            <w:vAlign w:val="center"/>
          </w:tcPr>
          <w:p w14:paraId="0A72D2DA" w14:textId="0C955EC8" w:rsidR="00212E31" w:rsidRPr="009E1913" w:rsidRDefault="00212E31" w:rsidP="00FA529D">
            <w:pPr>
              <w:jc w:val="center"/>
              <w:rPr>
                <w:rFonts w:ascii="Arial" w:hAnsi="Arial" w:cs="Arial"/>
                <w:sz w:val="18"/>
                <w:szCs w:val="18"/>
              </w:rPr>
            </w:pPr>
            <w:r w:rsidRPr="00990E10">
              <w:rPr>
                <w:rFonts w:ascii="Arial" w:hAnsi="Arial" w:cs="Arial"/>
                <w:sz w:val="18"/>
                <w:szCs w:val="18"/>
              </w:rPr>
              <w:t>32 ± 3</w:t>
            </w:r>
          </w:p>
        </w:tc>
        <w:tc>
          <w:tcPr>
            <w:tcW w:w="818" w:type="dxa"/>
            <w:tcBorders>
              <w:bottom w:val="nil"/>
            </w:tcBorders>
            <w:shd w:val="clear" w:color="auto" w:fill="FFFFFF"/>
            <w:vAlign w:val="center"/>
          </w:tcPr>
          <w:p w14:paraId="720FB601" w14:textId="5961CC10" w:rsidR="00212E31" w:rsidRPr="009E1913" w:rsidRDefault="00212E31" w:rsidP="00FA529D">
            <w:pPr>
              <w:jc w:val="center"/>
              <w:rPr>
                <w:rFonts w:ascii="Arial" w:hAnsi="Arial" w:cs="Arial"/>
                <w:sz w:val="18"/>
                <w:szCs w:val="18"/>
              </w:rPr>
            </w:pPr>
            <w:r w:rsidRPr="00990E10">
              <w:rPr>
                <w:rFonts w:ascii="Arial" w:hAnsi="Arial" w:cs="Arial"/>
                <w:sz w:val="18"/>
                <w:szCs w:val="18"/>
              </w:rPr>
              <w:t>CAM</w:t>
            </w:r>
          </w:p>
        </w:tc>
        <w:tc>
          <w:tcPr>
            <w:tcW w:w="914" w:type="dxa"/>
            <w:tcBorders>
              <w:bottom w:val="nil"/>
            </w:tcBorders>
            <w:shd w:val="clear" w:color="auto" w:fill="FFFFFF"/>
            <w:vAlign w:val="center"/>
          </w:tcPr>
          <w:p w14:paraId="5FC64922" w14:textId="17DE757F" w:rsidR="00212E31" w:rsidRPr="009E1913" w:rsidRDefault="00212E31" w:rsidP="00FA529D">
            <w:pPr>
              <w:jc w:val="center"/>
              <w:rPr>
                <w:rFonts w:ascii="Arial" w:hAnsi="Arial" w:cs="Arial"/>
                <w:sz w:val="18"/>
                <w:szCs w:val="18"/>
              </w:rPr>
            </w:pPr>
            <w:r w:rsidRPr="00990E10">
              <w:rPr>
                <w:rFonts w:ascii="Arial" w:hAnsi="Arial" w:cs="Arial"/>
                <w:sz w:val="18"/>
                <w:szCs w:val="18"/>
              </w:rPr>
              <w:t>276 ± 8</w:t>
            </w:r>
          </w:p>
        </w:tc>
        <w:tc>
          <w:tcPr>
            <w:tcW w:w="1214" w:type="dxa"/>
            <w:tcBorders>
              <w:left w:val="nil"/>
              <w:bottom w:val="nil"/>
              <w:right w:val="nil"/>
            </w:tcBorders>
            <w:shd w:val="clear" w:color="auto" w:fill="FFFFFF"/>
            <w:vAlign w:val="center"/>
          </w:tcPr>
          <w:p w14:paraId="54F09875" w14:textId="4C4E3EB6" w:rsidR="00212E31" w:rsidRPr="009E1913" w:rsidRDefault="00212E31" w:rsidP="00FA529D">
            <w:pPr>
              <w:jc w:val="center"/>
              <w:rPr>
                <w:rFonts w:ascii="Arial" w:hAnsi="Arial" w:cs="Arial"/>
                <w:sz w:val="18"/>
                <w:szCs w:val="18"/>
              </w:rPr>
            </w:pPr>
            <w:r w:rsidRPr="00990E10">
              <w:rPr>
                <w:rFonts w:ascii="Arial" w:hAnsi="Arial" w:cs="Arial"/>
                <w:sz w:val="18"/>
                <w:szCs w:val="18"/>
              </w:rPr>
              <w:t>119.2 ± 7.6</w:t>
            </w:r>
          </w:p>
        </w:tc>
      </w:tr>
      <w:tr w:rsidR="00212E31" w:rsidRPr="009E1913" w14:paraId="761BDC19" w14:textId="77777777" w:rsidTr="00973037">
        <w:trPr>
          <w:trHeight w:val="315"/>
          <w:jc w:val="center"/>
        </w:trPr>
        <w:tc>
          <w:tcPr>
            <w:tcW w:w="1225" w:type="dxa"/>
            <w:tcBorders>
              <w:left w:val="nil"/>
              <w:bottom w:val="single" w:sz="4" w:space="0" w:color="auto"/>
              <w:right w:val="nil"/>
            </w:tcBorders>
            <w:shd w:val="clear" w:color="auto" w:fill="FFFFFF"/>
            <w:noWrap/>
            <w:vAlign w:val="center"/>
          </w:tcPr>
          <w:p w14:paraId="334FF6CD" w14:textId="77777777" w:rsidR="00212E31" w:rsidRPr="009E1913" w:rsidRDefault="00212E31" w:rsidP="00FA529D">
            <w:pPr>
              <w:rPr>
                <w:rFonts w:ascii="Arial" w:hAnsi="Arial" w:cs="Arial"/>
                <w:sz w:val="18"/>
                <w:szCs w:val="18"/>
              </w:rPr>
            </w:pPr>
          </w:p>
        </w:tc>
        <w:tc>
          <w:tcPr>
            <w:tcW w:w="675" w:type="dxa"/>
            <w:tcBorders>
              <w:left w:val="nil"/>
              <w:bottom w:val="single" w:sz="4" w:space="0" w:color="auto"/>
              <w:right w:val="nil"/>
            </w:tcBorders>
            <w:shd w:val="clear" w:color="auto" w:fill="FFFFFF"/>
            <w:vAlign w:val="center"/>
          </w:tcPr>
          <w:p w14:paraId="423B26D0" w14:textId="77777777" w:rsidR="00212E31" w:rsidRPr="009E1913" w:rsidRDefault="00212E31" w:rsidP="00FA529D">
            <w:pPr>
              <w:jc w:val="center"/>
              <w:rPr>
                <w:rFonts w:ascii="Arial" w:hAnsi="Arial" w:cs="Arial"/>
                <w:sz w:val="18"/>
                <w:szCs w:val="18"/>
              </w:rPr>
            </w:pPr>
          </w:p>
        </w:tc>
        <w:tc>
          <w:tcPr>
            <w:tcW w:w="1075" w:type="dxa"/>
            <w:tcBorders>
              <w:left w:val="nil"/>
              <w:bottom w:val="single" w:sz="4" w:space="0" w:color="auto"/>
              <w:right w:val="nil"/>
            </w:tcBorders>
            <w:shd w:val="clear" w:color="auto" w:fill="FFFFFF"/>
            <w:vAlign w:val="center"/>
          </w:tcPr>
          <w:p w14:paraId="1DBBF196" w14:textId="76FC2598" w:rsidR="00212E31" w:rsidRPr="009E1913" w:rsidRDefault="00212E31" w:rsidP="00FA529D">
            <w:pPr>
              <w:jc w:val="center"/>
              <w:rPr>
                <w:rFonts w:ascii="Arial" w:hAnsi="Arial" w:cs="Arial"/>
                <w:sz w:val="18"/>
                <w:szCs w:val="18"/>
              </w:rPr>
            </w:pPr>
          </w:p>
        </w:tc>
        <w:tc>
          <w:tcPr>
            <w:tcW w:w="1114" w:type="dxa"/>
            <w:tcBorders>
              <w:left w:val="nil"/>
              <w:bottom w:val="single" w:sz="4" w:space="0" w:color="auto"/>
              <w:right w:val="nil"/>
            </w:tcBorders>
            <w:shd w:val="clear" w:color="auto" w:fill="FFFFFF"/>
            <w:vAlign w:val="center"/>
          </w:tcPr>
          <w:p w14:paraId="3F8382B3" w14:textId="77777777" w:rsidR="00212E31" w:rsidRPr="00990E10" w:rsidRDefault="00212E31" w:rsidP="00FA529D">
            <w:pPr>
              <w:jc w:val="center"/>
              <w:rPr>
                <w:rFonts w:ascii="Arial" w:hAnsi="Arial" w:cs="Arial"/>
                <w:sz w:val="18"/>
                <w:szCs w:val="18"/>
              </w:rPr>
            </w:pPr>
          </w:p>
        </w:tc>
        <w:tc>
          <w:tcPr>
            <w:tcW w:w="0" w:type="auto"/>
            <w:tcBorders>
              <w:left w:val="nil"/>
              <w:bottom w:val="single" w:sz="4" w:space="0" w:color="auto"/>
              <w:right w:val="nil"/>
            </w:tcBorders>
            <w:shd w:val="clear" w:color="auto" w:fill="FFFFFF"/>
            <w:noWrap/>
            <w:vAlign w:val="center"/>
          </w:tcPr>
          <w:p w14:paraId="3D8E0FA9" w14:textId="2C9D7A17" w:rsidR="00212E31" w:rsidRPr="009E1913" w:rsidRDefault="00212E31" w:rsidP="00FA529D">
            <w:pPr>
              <w:jc w:val="center"/>
              <w:rPr>
                <w:rFonts w:ascii="Arial" w:hAnsi="Arial" w:cs="Arial"/>
                <w:sz w:val="18"/>
                <w:szCs w:val="18"/>
              </w:rPr>
            </w:pPr>
            <w:r>
              <w:rPr>
                <w:rFonts w:ascii="Arial" w:hAnsi="Arial" w:cs="Arial"/>
                <w:sz w:val="18"/>
                <w:szCs w:val="18"/>
              </w:rPr>
              <w:t>Synth. Al. MG OSL</w:t>
            </w:r>
          </w:p>
        </w:tc>
        <w:tc>
          <w:tcPr>
            <w:tcW w:w="0" w:type="auto"/>
            <w:tcBorders>
              <w:left w:val="nil"/>
              <w:bottom w:val="single" w:sz="4" w:space="0" w:color="auto"/>
              <w:right w:val="nil"/>
            </w:tcBorders>
            <w:shd w:val="clear" w:color="auto" w:fill="FFFFFF"/>
            <w:noWrap/>
            <w:vAlign w:val="center"/>
          </w:tcPr>
          <w:p w14:paraId="0DFBA94E" w14:textId="031772AC" w:rsidR="00212E31" w:rsidRPr="009E1913" w:rsidRDefault="00212E31" w:rsidP="00FA529D">
            <w:pPr>
              <w:jc w:val="center"/>
              <w:rPr>
                <w:rFonts w:ascii="Arial" w:hAnsi="Arial" w:cs="Arial"/>
                <w:sz w:val="18"/>
                <w:szCs w:val="18"/>
              </w:rPr>
            </w:pPr>
            <w:r>
              <w:rPr>
                <w:rFonts w:ascii="Arial" w:hAnsi="Arial" w:cs="Arial"/>
                <w:sz w:val="18"/>
                <w:szCs w:val="18"/>
              </w:rPr>
              <w:t>21 / 23</w:t>
            </w:r>
          </w:p>
        </w:tc>
        <w:tc>
          <w:tcPr>
            <w:tcW w:w="1125" w:type="dxa"/>
            <w:tcBorders>
              <w:left w:val="nil"/>
              <w:bottom w:val="single" w:sz="4" w:space="0" w:color="auto"/>
            </w:tcBorders>
            <w:shd w:val="clear" w:color="auto" w:fill="FFFFFF"/>
            <w:noWrap/>
            <w:vAlign w:val="center"/>
          </w:tcPr>
          <w:p w14:paraId="0A9ABFD3" w14:textId="3174C900" w:rsidR="00212E31" w:rsidRPr="009E1913" w:rsidRDefault="00212E31" w:rsidP="00FA529D">
            <w:pPr>
              <w:jc w:val="center"/>
              <w:rPr>
                <w:rFonts w:ascii="Arial" w:hAnsi="Arial" w:cs="Arial"/>
                <w:sz w:val="18"/>
                <w:szCs w:val="18"/>
              </w:rPr>
            </w:pPr>
            <w:r>
              <w:rPr>
                <w:rFonts w:ascii="Arial" w:hAnsi="Arial" w:cs="Arial"/>
                <w:sz w:val="18"/>
                <w:szCs w:val="18"/>
              </w:rPr>
              <w:t>12</w:t>
            </w:r>
            <w:r w:rsidRPr="00FA529D">
              <w:rPr>
                <w:rFonts w:ascii="Arial" w:hAnsi="Arial" w:cs="Arial"/>
                <w:sz w:val="18"/>
                <w:szCs w:val="18"/>
              </w:rPr>
              <w:t xml:space="preserve"> ±</w:t>
            </w:r>
            <w:r>
              <w:rPr>
                <w:rFonts w:ascii="Arial" w:hAnsi="Arial" w:cs="Arial"/>
                <w:sz w:val="18"/>
                <w:szCs w:val="18"/>
              </w:rPr>
              <w:t xml:space="preserve"> 4</w:t>
            </w:r>
          </w:p>
        </w:tc>
        <w:tc>
          <w:tcPr>
            <w:tcW w:w="818" w:type="dxa"/>
            <w:tcBorders>
              <w:bottom w:val="single" w:sz="4" w:space="0" w:color="auto"/>
            </w:tcBorders>
            <w:shd w:val="clear" w:color="auto" w:fill="FFFFFF"/>
            <w:vAlign w:val="center"/>
          </w:tcPr>
          <w:p w14:paraId="6DBDB4C0" w14:textId="561AE1E4" w:rsidR="00212E31" w:rsidRPr="009E1913" w:rsidRDefault="00212E31" w:rsidP="00FA529D">
            <w:pPr>
              <w:jc w:val="center"/>
              <w:rPr>
                <w:rFonts w:ascii="Arial" w:hAnsi="Arial" w:cs="Arial"/>
                <w:sz w:val="18"/>
                <w:szCs w:val="18"/>
              </w:rPr>
            </w:pPr>
            <w:r w:rsidRPr="00FA529D">
              <w:rPr>
                <w:rFonts w:ascii="Arial" w:hAnsi="Arial" w:cs="Arial"/>
                <w:sz w:val="18"/>
                <w:szCs w:val="18"/>
              </w:rPr>
              <w:t>CAM</w:t>
            </w:r>
          </w:p>
        </w:tc>
        <w:tc>
          <w:tcPr>
            <w:tcW w:w="914" w:type="dxa"/>
            <w:tcBorders>
              <w:bottom w:val="single" w:sz="4" w:space="0" w:color="auto"/>
            </w:tcBorders>
            <w:shd w:val="clear" w:color="auto" w:fill="FFFFFF"/>
            <w:vAlign w:val="center"/>
          </w:tcPr>
          <w:p w14:paraId="21CC254F" w14:textId="4BD3A072" w:rsidR="00212E31" w:rsidRPr="009E1913" w:rsidRDefault="00212E31" w:rsidP="00FA529D">
            <w:pPr>
              <w:jc w:val="center"/>
              <w:rPr>
                <w:rFonts w:ascii="Arial" w:hAnsi="Arial" w:cs="Arial"/>
                <w:sz w:val="18"/>
                <w:szCs w:val="18"/>
              </w:rPr>
            </w:pPr>
            <w:r>
              <w:rPr>
                <w:rFonts w:ascii="Arial" w:hAnsi="Arial" w:cs="Arial"/>
                <w:sz w:val="18"/>
                <w:szCs w:val="18"/>
              </w:rPr>
              <w:t>352</w:t>
            </w:r>
            <w:r w:rsidRPr="00FA529D">
              <w:rPr>
                <w:rFonts w:ascii="Arial" w:hAnsi="Arial" w:cs="Arial"/>
                <w:sz w:val="18"/>
                <w:szCs w:val="18"/>
              </w:rPr>
              <w:t xml:space="preserve"> ±</w:t>
            </w:r>
            <w:r>
              <w:rPr>
                <w:rFonts w:ascii="Arial" w:hAnsi="Arial" w:cs="Arial"/>
                <w:sz w:val="18"/>
                <w:szCs w:val="18"/>
              </w:rPr>
              <w:t xml:space="preserve"> 14</w:t>
            </w:r>
          </w:p>
        </w:tc>
        <w:tc>
          <w:tcPr>
            <w:tcW w:w="1214" w:type="dxa"/>
            <w:tcBorders>
              <w:left w:val="nil"/>
              <w:bottom w:val="single" w:sz="4" w:space="0" w:color="auto"/>
              <w:right w:val="nil"/>
            </w:tcBorders>
            <w:shd w:val="clear" w:color="auto" w:fill="FFFFFF"/>
            <w:vAlign w:val="center"/>
          </w:tcPr>
          <w:p w14:paraId="2FC00F68" w14:textId="4EC506ED" w:rsidR="00212E31" w:rsidRPr="009E1913" w:rsidRDefault="00212E31" w:rsidP="00FA529D">
            <w:pPr>
              <w:jc w:val="center"/>
              <w:rPr>
                <w:rFonts w:ascii="Arial" w:hAnsi="Arial" w:cs="Arial"/>
                <w:sz w:val="18"/>
                <w:szCs w:val="18"/>
              </w:rPr>
            </w:pPr>
            <w:r>
              <w:rPr>
                <w:rFonts w:ascii="Arial" w:hAnsi="Arial" w:cs="Arial"/>
                <w:sz w:val="18"/>
                <w:szCs w:val="18"/>
              </w:rPr>
              <w:t>151.8</w:t>
            </w:r>
            <w:r w:rsidRPr="00FA529D">
              <w:rPr>
                <w:rFonts w:ascii="Arial" w:hAnsi="Arial" w:cs="Arial"/>
                <w:sz w:val="18"/>
                <w:szCs w:val="18"/>
              </w:rPr>
              <w:t xml:space="preserve"> ±</w:t>
            </w:r>
            <w:r>
              <w:rPr>
                <w:rFonts w:ascii="Arial" w:hAnsi="Arial" w:cs="Arial"/>
                <w:sz w:val="18"/>
                <w:szCs w:val="18"/>
              </w:rPr>
              <w:t xml:space="preserve"> 10.6</w:t>
            </w:r>
          </w:p>
        </w:tc>
      </w:tr>
    </w:tbl>
    <w:p w14:paraId="21294DD5" w14:textId="5296846F" w:rsidR="00212E31" w:rsidRPr="00212E31" w:rsidRDefault="00212E31" w:rsidP="0031738A">
      <w:pPr>
        <w:ind w:left="2410" w:right="2521"/>
        <w:jc w:val="both"/>
        <w:rPr>
          <w:rFonts w:ascii="Arial" w:hAnsi="Arial" w:cs="Arial"/>
          <w:sz w:val="16"/>
          <w:szCs w:val="16"/>
        </w:rPr>
      </w:pPr>
      <w:r>
        <w:rPr>
          <w:rFonts w:ascii="Arial" w:hAnsi="Arial" w:cs="Arial"/>
          <w:sz w:val="16"/>
          <w:szCs w:val="16"/>
          <w:vertAlign w:val="superscript"/>
        </w:rPr>
        <w:t xml:space="preserve">a </w:t>
      </w:r>
      <w:r w:rsidRPr="00212E31">
        <w:rPr>
          <w:rFonts w:ascii="Arial" w:hAnsi="Arial" w:cs="Arial"/>
          <w:sz w:val="16"/>
          <w:szCs w:val="16"/>
        </w:rPr>
        <w:t>Mean ± total uncertainty (68% confidence interval), calculated as the quadratic sum of the random and systematic uncertainties.</w:t>
      </w:r>
    </w:p>
    <w:p w14:paraId="09D6F776" w14:textId="6E1538E5" w:rsidR="00212E31" w:rsidRPr="00212E31" w:rsidRDefault="00212E31" w:rsidP="0031738A">
      <w:pPr>
        <w:ind w:left="2410" w:right="2521"/>
        <w:jc w:val="both"/>
        <w:rPr>
          <w:rFonts w:ascii="Arial" w:hAnsi="Arial" w:cs="Arial"/>
          <w:sz w:val="16"/>
          <w:szCs w:val="16"/>
        </w:rPr>
      </w:pPr>
      <w:r w:rsidRPr="00212E31">
        <w:rPr>
          <w:rFonts w:ascii="Arial" w:hAnsi="Arial" w:cs="Arial"/>
          <w:sz w:val="16"/>
          <w:szCs w:val="16"/>
          <w:vertAlign w:val="superscript"/>
        </w:rPr>
        <w:t>b</w:t>
      </w:r>
      <w:r>
        <w:rPr>
          <w:rFonts w:ascii="Arial" w:hAnsi="Arial" w:cs="Arial"/>
          <w:sz w:val="16"/>
          <w:szCs w:val="16"/>
        </w:rPr>
        <w:t xml:space="preserve"> SG OSL = Single-grain OSL; Synth. Al. MG OSL = Synthetic aliquot multi-grain OSL.</w:t>
      </w:r>
    </w:p>
    <w:p w14:paraId="48FAD86F" w14:textId="0AE083AD" w:rsidR="00FA529D" w:rsidRPr="00FA529D" w:rsidRDefault="00212E31" w:rsidP="0031738A">
      <w:pPr>
        <w:ind w:left="2410" w:right="2521"/>
        <w:jc w:val="both"/>
        <w:rPr>
          <w:rFonts w:ascii="Arial" w:hAnsi="Arial" w:cs="Arial"/>
          <w:sz w:val="16"/>
          <w:szCs w:val="16"/>
        </w:rPr>
      </w:pPr>
      <w:r>
        <w:rPr>
          <w:rFonts w:ascii="Arial" w:hAnsi="Arial" w:cs="Arial"/>
          <w:sz w:val="16"/>
          <w:szCs w:val="16"/>
          <w:vertAlign w:val="superscript"/>
        </w:rPr>
        <w:t>c</w:t>
      </w:r>
      <w:r w:rsidR="00FA529D" w:rsidRPr="00FA529D">
        <w:rPr>
          <w:rFonts w:ascii="Arial" w:hAnsi="Arial" w:cs="Arial"/>
          <w:sz w:val="16"/>
          <w:szCs w:val="16"/>
        </w:rPr>
        <w:t xml:space="preserve"> Number of D</w:t>
      </w:r>
      <w:r w:rsidR="00FA529D" w:rsidRPr="00FA529D">
        <w:rPr>
          <w:rFonts w:ascii="Arial" w:hAnsi="Arial" w:cs="Arial"/>
          <w:sz w:val="16"/>
          <w:szCs w:val="16"/>
          <w:vertAlign w:val="subscript"/>
        </w:rPr>
        <w:t>e</w:t>
      </w:r>
      <w:r w:rsidR="00FA529D" w:rsidRPr="00FA529D">
        <w:rPr>
          <w:rFonts w:ascii="Arial" w:hAnsi="Arial" w:cs="Arial"/>
          <w:sz w:val="16"/>
          <w:szCs w:val="16"/>
        </w:rPr>
        <w:t xml:space="preserve"> measurements that passed the SAR rejection criteria and were used for D</w:t>
      </w:r>
      <w:r w:rsidR="00FA529D" w:rsidRPr="00FA529D">
        <w:rPr>
          <w:rFonts w:ascii="Arial" w:hAnsi="Arial" w:cs="Arial"/>
          <w:sz w:val="16"/>
          <w:szCs w:val="16"/>
          <w:vertAlign w:val="subscript"/>
        </w:rPr>
        <w:t>e</w:t>
      </w:r>
      <w:r w:rsidR="00FA529D" w:rsidRPr="00FA529D">
        <w:rPr>
          <w:rFonts w:ascii="Arial" w:hAnsi="Arial" w:cs="Arial"/>
          <w:sz w:val="16"/>
          <w:szCs w:val="16"/>
        </w:rPr>
        <w:t xml:space="preserve"> determination / total number of grains analysed.</w:t>
      </w:r>
      <w:r>
        <w:rPr>
          <w:rFonts w:ascii="Arial" w:hAnsi="Arial" w:cs="Arial"/>
          <w:sz w:val="16"/>
          <w:szCs w:val="16"/>
        </w:rPr>
        <w:t xml:space="preserve"> See Table S2 for single-grain rejection and classification statistics. For each synthetic aliquot dataset, 2-3 D</w:t>
      </w:r>
      <w:r w:rsidRPr="00212E31">
        <w:rPr>
          <w:rFonts w:ascii="Arial" w:hAnsi="Arial" w:cs="Arial"/>
          <w:sz w:val="16"/>
          <w:szCs w:val="16"/>
          <w:vertAlign w:val="subscript"/>
        </w:rPr>
        <w:t>e</w:t>
      </w:r>
      <w:r>
        <w:rPr>
          <w:rFonts w:ascii="Arial" w:hAnsi="Arial" w:cs="Arial"/>
          <w:sz w:val="16"/>
          <w:szCs w:val="16"/>
        </w:rPr>
        <w:t xml:space="preserve"> measurements were rejected per sample </w:t>
      </w:r>
      <w:r w:rsidR="00973037">
        <w:rPr>
          <w:rFonts w:ascii="Arial" w:hAnsi="Arial" w:cs="Arial"/>
          <w:sz w:val="16"/>
          <w:szCs w:val="16"/>
        </w:rPr>
        <w:t>owing to having</w:t>
      </w:r>
      <w:r>
        <w:rPr>
          <w:rFonts w:ascii="Arial" w:hAnsi="Arial" w:cs="Arial"/>
          <w:sz w:val="16"/>
          <w:szCs w:val="16"/>
        </w:rPr>
        <w:t xml:space="preserve"> saturated, non-intersecting or extrapolated normalised natural OSL signals (i.e., they failed SAR quality assurance criteria (v) or (vi)</w:t>
      </w:r>
      <w:r w:rsidR="00973037">
        <w:rPr>
          <w:rFonts w:ascii="Arial" w:hAnsi="Arial" w:cs="Arial"/>
          <w:sz w:val="16"/>
          <w:szCs w:val="16"/>
        </w:rPr>
        <w:t xml:space="preserve">, which precluded </w:t>
      </w:r>
      <w:r>
        <w:rPr>
          <w:rFonts w:ascii="Arial" w:hAnsi="Arial" w:cs="Arial"/>
          <w:sz w:val="16"/>
          <w:szCs w:val="16"/>
        </w:rPr>
        <w:t>finite D</w:t>
      </w:r>
      <w:r w:rsidRPr="00973037">
        <w:rPr>
          <w:rFonts w:ascii="Arial" w:hAnsi="Arial" w:cs="Arial"/>
          <w:sz w:val="16"/>
          <w:szCs w:val="16"/>
          <w:vertAlign w:val="subscript"/>
        </w:rPr>
        <w:t>e</w:t>
      </w:r>
      <w:r>
        <w:rPr>
          <w:rFonts w:ascii="Arial" w:hAnsi="Arial" w:cs="Arial"/>
          <w:sz w:val="16"/>
          <w:szCs w:val="16"/>
        </w:rPr>
        <w:t xml:space="preserve"> interpolation</w:t>
      </w:r>
      <w:r w:rsidR="00973037">
        <w:rPr>
          <w:rFonts w:ascii="Arial" w:hAnsi="Arial" w:cs="Arial"/>
          <w:sz w:val="16"/>
          <w:szCs w:val="16"/>
        </w:rPr>
        <w:t>).</w:t>
      </w:r>
      <w:r>
        <w:rPr>
          <w:rFonts w:ascii="Arial" w:hAnsi="Arial" w:cs="Arial"/>
          <w:sz w:val="16"/>
          <w:szCs w:val="16"/>
        </w:rPr>
        <w:t xml:space="preserve"> </w:t>
      </w:r>
    </w:p>
    <w:p w14:paraId="5A4DE780" w14:textId="046F2F07" w:rsidR="00FA529D" w:rsidRPr="00FA529D" w:rsidRDefault="00212E31" w:rsidP="0031738A">
      <w:pPr>
        <w:ind w:left="2410" w:right="2521"/>
        <w:jc w:val="both"/>
        <w:rPr>
          <w:rFonts w:ascii="Arial" w:hAnsi="Arial" w:cs="Arial"/>
          <w:sz w:val="16"/>
          <w:szCs w:val="16"/>
        </w:rPr>
      </w:pPr>
      <w:r>
        <w:rPr>
          <w:rFonts w:ascii="Arial" w:hAnsi="Arial" w:cs="Arial"/>
          <w:sz w:val="16"/>
          <w:szCs w:val="16"/>
          <w:vertAlign w:val="superscript"/>
        </w:rPr>
        <w:t>d</w:t>
      </w:r>
      <w:r w:rsidR="00FA529D" w:rsidRPr="00FA529D">
        <w:rPr>
          <w:rFonts w:ascii="Arial" w:hAnsi="Arial" w:cs="Arial"/>
          <w:sz w:val="16"/>
          <w:szCs w:val="16"/>
        </w:rPr>
        <w:t xml:space="preserve"> </w:t>
      </w:r>
      <w:r w:rsidR="0031738A">
        <w:rPr>
          <w:rFonts w:ascii="Arial" w:hAnsi="Arial" w:cs="Arial"/>
          <w:sz w:val="16"/>
          <w:szCs w:val="16"/>
        </w:rPr>
        <w:t>R</w:t>
      </w:r>
      <w:r w:rsidR="00FA529D" w:rsidRPr="00FA529D">
        <w:rPr>
          <w:rFonts w:ascii="Arial" w:hAnsi="Arial" w:cs="Arial"/>
          <w:sz w:val="16"/>
          <w:szCs w:val="16"/>
        </w:rPr>
        <w:t>elative spread in the D</w:t>
      </w:r>
      <w:r w:rsidR="00FA529D" w:rsidRPr="00FA529D">
        <w:rPr>
          <w:rFonts w:ascii="Arial" w:hAnsi="Arial" w:cs="Arial"/>
          <w:sz w:val="16"/>
          <w:szCs w:val="16"/>
          <w:vertAlign w:val="subscript"/>
        </w:rPr>
        <w:t>e</w:t>
      </w:r>
      <w:r w:rsidR="00FA529D" w:rsidRPr="00FA529D">
        <w:rPr>
          <w:rFonts w:ascii="Arial" w:hAnsi="Arial" w:cs="Arial"/>
          <w:sz w:val="16"/>
          <w:szCs w:val="16"/>
        </w:rPr>
        <w:t xml:space="preserve"> dataset beyond that associated with measurement uncertainties of individual D</w:t>
      </w:r>
      <w:r w:rsidR="00FA529D" w:rsidRPr="00FA529D">
        <w:rPr>
          <w:rFonts w:ascii="Arial" w:hAnsi="Arial" w:cs="Arial"/>
          <w:sz w:val="16"/>
          <w:szCs w:val="16"/>
          <w:vertAlign w:val="subscript"/>
        </w:rPr>
        <w:t>e</w:t>
      </w:r>
      <w:r w:rsidR="00FA529D" w:rsidRPr="00FA529D">
        <w:rPr>
          <w:rFonts w:ascii="Arial" w:hAnsi="Arial" w:cs="Arial"/>
          <w:sz w:val="16"/>
          <w:szCs w:val="16"/>
        </w:rPr>
        <w:t xml:space="preserve"> values, calculated using the central age model.</w:t>
      </w:r>
    </w:p>
    <w:p w14:paraId="79B6F6C8" w14:textId="03A0BE9E" w:rsidR="00FA529D" w:rsidRPr="00FA529D" w:rsidRDefault="00212E31" w:rsidP="0031738A">
      <w:pPr>
        <w:ind w:left="2410" w:right="2521"/>
        <w:jc w:val="both"/>
        <w:rPr>
          <w:rFonts w:ascii="Arial" w:hAnsi="Arial" w:cs="Arial"/>
          <w:sz w:val="16"/>
          <w:szCs w:val="16"/>
        </w:rPr>
      </w:pPr>
      <w:r>
        <w:rPr>
          <w:rFonts w:ascii="Arial" w:hAnsi="Arial" w:cs="Arial"/>
          <w:sz w:val="16"/>
          <w:szCs w:val="16"/>
          <w:vertAlign w:val="superscript"/>
        </w:rPr>
        <w:t>e</w:t>
      </w:r>
      <w:r w:rsidR="00FA529D" w:rsidRPr="00FA529D">
        <w:rPr>
          <w:rFonts w:ascii="Arial" w:hAnsi="Arial" w:cs="Arial"/>
          <w:sz w:val="16"/>
          <w:szCs w:val="16"/>
        </w:rPr>
        <w:t xml:space="preserve"> Age model used to calculate the </w:t>
      </w:r>
      <w:proofErr w:type="gramStart"/>
      <w:r w:rsidR="00FA529D" w:rsidRPr="00FA529D">
        <w:rPr>
          <w:rFonts w:ascii="Arial" w:hAnsi="Arial" w:cs="Arial"/>
          <w:sz w:val="16"/>
          <w:szCs w:val="16"/>
        </w:rPr>
        <w:t>sample-averaged</w:t>
      </w:r>
      <w:proofErr w:type="gramEnd"/>
      <w:r w:rsidR="00FA529D" w:rsidRPr="00FA529D">
        <w:rPr>
          <w:rFonts w:ascii="Arial" w:hAnsi="Arial" w:cs="Arial"/>
          <w:sz w:val="16"/>
          <w:szCs w:val="16"/>
        </w:rPr>
        <w:t xml:space="preserve"> D</w:t>
      </w:r>
      <w:r w:rsidR="00FA529D" w:rsidRPr="00FA529D">
        <w:rPr>
          <w:rFonts w:ascii="Arial" w:hAnsi="Arial" w:cs="Arial"/>
          <w:sz w:val="16"/>
          <w:szCs w:val="16"/>
          <w:vertAlign w:val="subscript"/>
        </w:rPr>
        <w:t>e</w:t>
      </w:r>
      <w:r w:rsidR="00FA529D" w:rsidRPr="00FA529D">
        <w:rPr>
          <w:rFonts w:ascii="Arial" w:hAnsi="Arial" w:cs="Arial"/>
          <w:sz w:val="16"/>
          <w:szCs w:val="16"/>
        </w:rPr>
        <w:t xml:space="preserve"> value for each sample. The choice of age model for each sample has been made on statistical grounds using the maximum log likelihood score (</w:t>
      </w:r>
      <w:proofErr w:type="spellStart"/>
      <w:r w:rsidR="00FA529D" w:rsidRPr="00FA529D">
        <w:rPr>
          <w:rFonts w:ascii="Arial" w:hAnsi="Arial" w:cs="Arial"/>
          <w:i/>
          <w:sz w:val="16"/>
          <w:szCs w:val="16"/>
        </w:rPr>
        <w:t>L</w:t>
      </w:r>
      <w:r w:rsidR="00FA529D" w:rsidRPr="00FA529D">
        <w:rPr>
          <w:rFonts w:ascii="Arial" w:hAnsi="Arial" w:cs="Arial"/>
          <w:i/>
          <w:sz w:val="16"/>
          <w:szCs w:val="16"/>
          <w:vertAlign w:val="subscript"/>
        </w:rPr>
        <w:t>max</w:t>
      </w:r>
      <w:proofErr w:type="spellEnd"/>
      <w:r w:rsidR="00FA529D" w:rsidRPr="00FA529D">
        <w:rPr>
          <w:rFonts w:ascii="Arial" w:hAnsi="Arial" w:cs="Arial"/>
          <w:sz w:val="16"/>
          <w:szCs w:val="16"/>
        </w:rPr>
        <w:t>) criterion outlined by Arnold et al. (2009). CAM = central age model.</w:t>
      </w:r>
    </w:p>
    <w:p w14:paraId="7B265C53" w14:textId="0C8CEC10" w:rsidR="00FA529D" w:rsidRPr="00FA529D" w:rsidRDefault="00212E31" w:rsidP="0031738A">
      <w:pPr>
        <w:ind w:left="2410" w:right="2521"/>
        <w:jc w:val="both"/>
        <w:rPr>
          <w:rFonts w:ascii="Arial" w:hAnsi="Arial" w:cs="Arial"/>
          <w:sz w:val="16"/>
          <w:szCs w:val="16"/>
        </w:rPr>
      </w:pPr>
      <w:r>
        <w:rPr>
          <w:rFonts w:ascii="Arial" w:hAnsi="Arial" w:cs="Arial"/>
          <w:sz w:val="16"/>
          <w:szCs w:val="16"/>
          <w:vertAlign w:val="superscript"/>
        </w:rPr>
        <w:t>r</w:t>
      </w:r>
      <w:r w:rsidR="00FA529D" w:rsidRPr="00FA529D">
        <w:rPr>
          <w:rFonts w:ascii="Arial" w:hAnsi="Arial" w:cs="Arial"/>
          <w:sz w:val="16"/>
          <w:szCs w:val="16"/>
        </w:rPr>
        <w:t xml:space="preserve"> Total uncertainty includes a systematic component of ±2% associated with laboratory beta-source calibration.</w:t>
      </w:r>
    </w:p>
    <w:p w14:paraId="640A09A3" w14:textId="77777777" w:rsidR="009E1913" w:rsidRDefault="009E1913" w:rsidP="00BA0794">
      <w:pPr>
        <w:jc w:val="center"/>
      </w:pPr>
    </w:p>
    <w:p w14:paraId="1B92E4E6" w14:textId="442B1F81" w:rsidR="00BF4EB1" w:rsidRDefault="00BF4EB1" w:rsidP="00BA0794">
      <w:pPr>
        <w:jc w:val="center"/>
      </w:pPr>
    </w:p>
    <w:p w14:paraId="45647586" w14:textId="5E1C8121" w:rsidR="00BF4EB1" w:rsidRDefault="009E1913" w:rsidP="009E1913">
      <w:pPr>
        <w:jc w:val="both"/>
      </w:pPr>
      <w:r w:rsidRPr="009E1913">
        <w:rPr>
          <w:b/>
          <w:lang w:val="en-AU"/>
        </w:rPr>
        <w:t>Table S3</w:t>
      </w:r>
      <w:r>
        <w:rPr>
          <w:lang w:val="en-AU"/>
        </w:rPr>
        <w:t xml:space="preserve"> Comparison of single-grain OSL results and s</w:t>
      </w:r>
      <w:r w:rsidR="00BF4EB1" w:rsidRPr="00BF4EB1">
        <w:rPr>
          <w:lang w:val="en-AU"/>
        </w:rPr>
        <w:t xml:space="preserve">ynthetic aliquot </w:t>
      </w:r>
      <w:r>
        <w:rPr>
          <w:lang w:val="en-AU"/>
        </w:rPr>
        <w:t xml:space="preserve">OSL results </w:t>
      </w:r>
      <w:r w:rsidRPr="00BF4EB1">
        <w:rPr>
          <w:lang w:val="en-AU"/>
        </w:rPr>
        <w:t>(equivalent to multi-grain aliquots containing 100-grains each)</w:t>
      </w:r>
      <w:r>
        <w:rPr>
          <w:lang w:val="en-AU"/>
        </w:rPr>
        <w:t xml:space="preserve"> for the Fuente </w:t>
      </w:r>
      <w:proofErr w:type="spellStart"/>
      <w:r>
        <w:rPr>
          <w:lang w:val="en-AU"/>
        </w:rPr>
        <w:t>Mudarra</w:t>
      </w:r>
      <w:proofErr w:type="spellEnd"/>
      <w:r>
        <w:rPr>
          <w:lang w:val="en-AU"/>
        </w:rPr>
        <w:t xml:space="preserve"> samples. The synthetic aliquot </w:t>
      </w:r>
      <w:r w:rsidR="00BF4EB1" w:rsidRPr="00BF4EB1">
        <w:rPr>
          <w:lang w:val="en-AU"/>
        </w:rPr>
        <w:t>D</w:t>
      </w:r>
      <w:r w:rsidR="00BF4EB1" w:rsidRPr="009E1913">
        <w:rPr>
          <w:vertAlign w:val="subscript"/>
          <w:lang w:val="en-AU"/>
        </w:rPr>
        <w:t>e</w:t>
      </w:r>
      <w:r w:rsidR="00BF4EB1" w:rsidRPr="00BF4EB1">
        <w:rPr>
          <w:lang w:val="en-AU"/>
        </w:rPr>
        <w:t xml:space="preserve"> values were obtained</w:t>
      </w:r>
      <w:r w:rsidR="00BF4EB1">
        <w:rPr>
          <w:lang w:val="en-AU"/>
        </w:rPr>
        <w:t xml:space="preserve"> </w:t>
      </w:r>
      <w:r w:rsidR="00BF4EB1" w:rsidRPr="00BF4EB1">
        <w:rPr>
          <w:lang w:val="en-AU"/>
        </w:rPr>
        <w:t>by summing the signals of all accepted and rejected grain types on each single</w:t>
      </w:r>
      <w:r w:rsidR="00BF4EB1">
        <w:rPr>
          <w:lang w:val="en-AU"/>
        </w:rPr>
        <w:t>-</w:t>
      </w:r>
      <w:r w:rsidR="00BF4EB1" w:rsidRPr="00BF4EB1">
        <w:rPr>
          <w:lang w:val="en-AU"/>
        </w:rPr>
        <w:t>grain</w:t>
      </w:r>
      <w:r>
        <w:rPr>
          <w:lang w:val="en-AU"/>
        </w:rPr>
        <w:t xml:space="preserve"> </w:t>
      </w:r>
      <w:r w:rsidR="00BF4EB1" w:rsidRPr="00BF4EB1">
        <w:rPr>
          <w:lang w:val="en-AU"/>
        </w:rPr>
        <w:t>disc.</w:t>
      </w:r>
    </w:p>
    <w:p w14:paraId="07E89919" w14:textId="381580B4" w:rsidR="00BF4EB1" w:rsidRDefault="00BF4EB1" w:rsidP="00BA0794">
      <w:pPr>
        <w:jc w:val="center"/>
      </w:pPr>
    </w:p>
    <w:p w14:paraId="2BF74DE9" w14:textId="77777777" w:rsidR="00BF4EB1" w:rsidRDefault="00BF4EB1" w:rsidP="00BA0794">
      <w:pPr>
        <w:jc w:val="center"/>
        <w:sectPr w:rsidR="00BF4EB1" w:rsidSect="007E554C">
          <w:footerReference w:type="even" r:id="rId8"/>
          <w:footerReference w:type="default" r:id="rId9"/>
          <w:pgSz w:w="16838" w:h="11906" w:orient="landscape"/>
          <w:pgMar w:top="567" w:right="567" w:bottom="567" w:left="567" w:header="709" w:footer="709" w:gutter="0"/>
          <w:cols w:space="708"/>
          <w:docGrid w:linePitch="360"/>
        </w:sectPr>
      </w:pPr>
    </w:p>
    <w:p w14:paraId="0415B439" w14:textId="11776483" w:rsidR="00F72B77" w:rsidRDefault="00EF7CF0" w:rsidP="00045FED">
      <w:pPr>
        <w:jc w:val="both"/>
      </w:pPr>
      <w:r w:rsidRPr="00EF7CF0">
        <w:rPr>
          <w:noProof/>
        </w:rPr>
        <w:lastRenderedPageBreak/>
        <w:drawing>
          <wp:anchor distT="0" distB="0" distL="114300" distR="114300" simplePos="0" relativeHeight="251646975" behindDoc="0" locked="0" layoutInCell="1" allowOverlap="1" wp14:anchorId="675EF453" wp14:editId="1909B83B">
            <wp:simplePos x="0" y="0"/>
            <wp:positionH relativeFrom="column">
              <wp:posOffset>400050</wp:posOffset>
            </wp:positionH>
            <wp:positionV relativeFrom="paragraph">
              <wp:posOffset>85725</wp:posOffset>
            </wp:positionV>
            <wp:extent cx="5937885" cy="349758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7885" cy="3497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FA9C0" w14:textId="03645FAA" w:rsidR="00F72B77" w:rsidRDefault="005D669A" w:rsidP="00045FED">
      <w:pPr>
        <w:jc w:val="both"/>
      </w:pPr>
      <w:r>
        <w:rPr>
          <w:noProof/>
          <w:lang w:val="en-AU" w:eastAsia="en-AU"/>
        </w:rPr>
        <mc:AlternateContent>
          <mc:Choice Requires="wps">
            <w:drawing>
              <wp:anchor distT="0" distB="0" distL="114300" distR="114300" simplePos="0" relativeHeight="251665408" behindDoc="0" locked="0" layoutInCell="1" allowOverlap="1" wp14:anchorId="5CF594A0" wp14:editId="053A3306">
                <wp:simplePos x="0" y="0"/>
                <wp:positionH relativeFrom="column">
                  <wp:posOffset>5835650</wp:posOffset>
                </wp:positionH>
                <wp:positionV relativeFrom="paragraph">
                  <wp:posOffset>90170</wp:posOffset>
                </wp:positionV>
                <wp:extent cx="385445" cy="314325"/>
                <wp:effectExtent l="0" t="0" r="0" b="9525"/>
                <wp:wrapNone/>
                <wp:docPr id="1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A1A91" w14:textId="77777777" w:rsidR="00FA529D" w:rsidRDefault="00FA529D" w:rsidP="00DC4F0B">
                            <w:pPr>
                              <w:rPr>
                                <w:rFonts w:ascii="Arial" w:hAnsi="Arial"/>
                                <w:sz w:val="20"/>
                              </w:rPr>
                            </w:pPr>
                            <w:r>
                              <w:rPr>
                                <w:rFonts w:ascii="Arial" w:hAnsi="Arial"/>
                                <w:sz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594A0" id="_x0000_t202" coordsize="21600,21600" o:spt="202" path="m,l,21600r21600,l21600,xe">
                <v:stroke joinstyle="miter"/>
                <v:path gradientshapeok="t" o:connecttype="rect"/>
              </v:shapetype>
              <v:shape id="Text Box 132" o:spid="_x0000_s1026" type="#_x0000_t202" style="position:absolute;left:0;text-align:left;margin-left:459.5pt;margin-top:7.1pt;width:30.3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" filled="f" stroked="f">
                <v:textbox>
                  <w:txbxContent>
                    <w:p w14:paraId="0D3A1A91" w14:textId="77777777" w:rsidR="00FA529D" w:rsidRDefault="00FA529D" w:rsidP="00DC4F0B">
                      <w:pPr>
                        <w:rPr>
                          <w:rFonts w:ascii="Arial" w:hAnsi="Arial"/>
                          <w:sz w:val="20"/>
                        </w:rPr>
                      </w:pPr>
                      <w:r>
                        <w:rPr>
                          <w:rFonts w:ascii="Arial" w:hAnsi="Arial"/>
                          <w:sz w:val="20"/>
                        </w:rPr>
                        <w:t>(a)</w:t>
                      </w:r>
                    </w:p>
                  </w:txbxContent>
                </v:textbox>
              </v:shape>
            </w:pict>
          </mc:Fallback>
        </mc:AlternateContent>
      </w:r>
    </w:p>
    <w:p w14:paraId="211009B0" w14:textId="77777777" w:rsidR="00F72B77" w:rsidRDefault="00F72B77" w:rsidP="00045FED">
      <w:pPr>
        <w:jc w:val="both"/>
      </w:pPr>
    </w:p>
    <w:p w14:paraId="7F505DBB" w14:textId="77777777" w:rsidR="00F72B77" w:rsidRDefault="00F72B77" w:rsidP="00045FED">
      <w:pPr>
        <w:jc w:val="both"/>
      </w:pPr>
    </w:p>
    <w:p w14:paraId="4928C2FF" w14:textId="77777777" w:rsidR="00F72B77" w:rsidRDefault="00F72B77" w:rsidP="00045FED">
      <w:pPr>
        <w:jc w:val="both"/>
      </w:pPr>
    </w:p>
    <w:p w14:paraId="3BCD986A" w14:textId="77777777" w:rsidR="00F72B77" w:rsidRDefault="00F72B77" w:rsidP="00045FED">
      <w:pPr>
        <w:jc w:val="both"/>
      </w:pPr>
    </w:p>
    <w:p w14:paraId="595CE3F0" w14:textId="77777777" w:rsidR="002C2ED8" w:rsidRDefault="002C2ED8" w:rsidP="00045FED">
      <w:pPr>
        <w:jc w:val="both"/>
      </w:pPr>
    </w:p>
    <w:p w14:paraId="5BA14853" w14:textId="77777777" w:rsidR="002C2ED8" w:rsidRDefault="002C2ED8" w:rsidP="00045FED">
      <w:pPr>
        <w:jc w:val="both"/>
      </w:pPr>
    </w:p>
    <w:p w14:paraId="556085B2" w14:textId="77777777" w:rsidR="002C2ED8" w:rsidRDefault="002C2ED8" w:rsidP="00045FED">
      <w:pPr>
        <w:jc w:val="both"/>
      </w:pPr>
    </w:p>
    <w:p w14:paraId="72F5ECEE" w14:textId="77777777" w:rsidR="002C2ED8" w:rsidRDefault="002C2ED8" w:rsidP="00045FED">
      <w:pPr>
        <w:jc w:val="both"/>
      </w:pPr>
    </w:p>
    <w:p w14:paraId="5F8F5C8C" w14:textId="77777777" w:rsidR="002C2ED8" w:rsidRDefault="002C2ED8" w:rsidP="00045FED">
      <w:pPr>
        <w:jc w:val="both"/>
      </w:pPr>
    </w:p>
    <w:p w14:paraId="19DE4AE4" w14:textId="77777777" w:rsidR="002C2ED8" w:rsidRDefault="002C2ED8" w:rsidP="00045FED">
      <w:pPr>
        <w:jc w:val="both"/>
      </w:pPr>
    </w:p>
    <w:p w14:paraId="7FEBD31B" w14:textId="77777777" w:rsidR="002C2ED8" w:rsidRDefault="002C2ED8" w:rsidP="00045FED">
      <w:pPr>
        <w:jc w:val="both"/>
      </w:pPr>
    </w:p>
    <w:p w14:paraId="150EC18D" w14:textId="77777777" w:rsidR="002C2ED8" w:rsidRDefault="002C2ED8" w:rsidP="00045FED">
      <w:pPr>
        <w:jc w:val="both"/>
      </w:pPr>
    </w:p>
    <w:p w14:paraId="7223F2BF" w14:textId="77777777" w:rsidR="002C2ED8" w:rsidRPr="002C2ED8" w:rsidRDefault="002C2ED8" w:rsidP="00045FED">
      <w:pPr>
        <w:jc w:val="both"/>
      </w:pPr>
    </w:p>
    <w:p w14:paraId="68246FE3" w14:textId="77777777" w:rsidR="00F72B77" w:rsidRDefault="00F72B77" w:rsidP="00045FED">
      <w:pPr>
        <w:jc w:val="both"/>
      </w:pPr>
    </w:p>
    <w:p w14:paraId="58E543E3" w14:textId="77777777" w:rsidR="00F72B77" w:rsidRDefault="00F72B77" w:rsidP="00045FED">
      <w:pPr>
        <w:jc w:val="both"/>
      </w:pPr>
    </w:p>
    <w:p w14:paraId="6E6A2EEF" w14:textId="13BF0D01" w:rsidR="00F72B77" w:rsidRDefault="00F72B77" w:rsidP="00045FED">
      <w:pPr>
        <w:jc w:val="both"/>
      </w:pPr>
    </w:p>
    <w:p w14:paraId="7A976DFF" w14:textId="77777777" w:rsidR="008C4FEA" w:rsidRDefault="008C4FEA" w:rsidP="00045FED">
      <w:pPr>
        <w:jc w:val="both"/>
      </w:pPr>
    </w:p>
    <w:p w14:paraId="1E63D47D" w14:textId="77777777" w:rsidR="002C2ED8" w:rsidRDefault="002C2ED8" w:rsidP="00045FED">
      <w:pPr>
        <w:jc w:val="both"/>
      </w:pPr>
    </w:p>
    <w:p w14:paraId="76DB74D5" w14:textId="77777777" w:rsidR="00F72B77" w:rsidRDefault="00DE7FF9" w:rsidP="00045FED">
      <w:pPr>
        <w:jc w:val="both"/>
      </w:pPr>
      <w:r>
        <w:t xml:space="preserve">      </w:t>
      </w:r>
    </w:p>
    <w:p w14:paraId="5C1DFCC6" w14:textId="26CB4B6F" w:rsidR="00F72B77" w:rsidRDefault="005D669A" w:rsidP="006B1FE8">
      <w:pPr>
        <w:jc w:val="center"/>
      </w:pPr>
      <w:r>
        <w:rPr>
          <w:noProof/>
          <w:lang w:val="en-AU" w:eastAsia="en-AU"/>
        </w:rPr>
        <mc:AlternateContent>
          <mc:Choice Requires="wps">
            <w:drawing>
              <wp:anchor distT="0" distB="0" distL="114300" distR="114300" simplePos="0" relativeHeight="251666432" behindDoc="0" locked="0" layoutInCell="1" allowOverlap="1" wp14:anchorId="2A943B61" wp14:editId="40750D92">
                <wp:simplePos x="0" y="0"/>
                <wp:positionH relativeFrom="column">
                  <wp:posOffset>1787525</wp:posOffset>
                </wp:positionH>
                <wp:positionV relativeFrom="paragraph">
                  <wp:posOffset>80645</wp:posOffset>
                </wp:positionV>
                <wp:extent cx="385445" cy="314325"/>
                <wp:effectExtent l="4445" t="0" r="635" b="3175"/>
                <wp:wrapNone/>
                <wp:docPr id="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DEDE" w14:textId="77777777" w:rsidR="00FA529D" w:rsidRDefault="00FA529D" w:rsidP="00DC4F0B">
                            <w:pPr>
                              <w:rPr>
                                <w:rFonts w:ascii="Arial" w:hAnsi="Arial"/>
                                <w:sz w:val="20"/>
                              </w:rPr>
                            </w:pPr>
                            <w:r>
                              <w:rPr>
                                <w:rFonts w:ascii="Arial" w:hAnsi="Arial"/>
                                <w:sz w:val="2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43B61" id="Text Box 135" o:spid="_x0000_s1027" type="#_x0000_t202" style="position:absolute;left:0;text-align:left;margin-left:140.75pt;margin-top:6.35pt;width:30.3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" filled="f" stroked="f">
                <v:textbox>
                  <w:txbxContent>
                    <w:p w14:paraId="7158DEDE" w14:textId="77777777" w:rsidR="00FA529D" w:rsidRDefault="00FA529D" w:rsidP="00DC4F0B">
                      <w:pPr>
                        <w:rPr>
                          <w:rFonts w:ascii="Arial" w:hAnsi="Arial"/>
                          <w:sz w:val="20"/>
                        </w:rPr>
                      </w:pPr>
                      <w:r>
                        <w:rPr>
                          <w:rFonts w:ascii="Arial" w:hAnsi="Arial"/>
                          <w:sz w:val="20"/>
                        </w:rPr>
                        <w:t>(b)</w:t>
                      </w:r>
                    </w:p>
                  </w:txbxContent>
                </v:textbox>
              </v:shape>
            </w:pict>
          </mc:Fallback>
        </mc:AlternateContent>
      </w:r>
      <w:r w:rsidR="00EF7CF0" w:rsidRPr="00E702C0">
        <w:rPr>
          <w:noProof/>
          <w:lang w:val="en-AU" w:eastAsia="en-AU"/>
        </w:rPr>
        <w:drawing>
          <wp:inline distT="0" distB="0" distL="0" distR="0" wp14:anchorId="6CCC8474" wp14:editId="77D70A66">
            <wp:extent cx="3429000" cy="33996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1631" cy="3402300"/>
                    </a:xfrm>
                    <a:prstGeom prst="rect">
                      <a:avLst/>
                    </a:prstGeom>
                    <a:noFill/>
                    <a:ln>
                      <a:noFill/>
                    </a:ln>
                  </pic:spPr>
                </pic:pic>
              </a:graphicData>
            </a:graphic>
          </wp:inline>
        </w:drawing>
      </w:r>
    </w:p>
    <w:p w14:paraId="05771944" w14:textId="77777777" w:rsidR="00A33ECC" w:rsidRDefault="00A33ECC" w:rsidP="00045FED">
      <w:pPr>
        <w:jc w:val="both"/>
        <w:rPr>
          <w:b/>
        </w:rPr>
      </w:pPr>
    </w:p>
    <w:p w14:paraId="4510F74E" w14:textId="46A8190E" w:rsidR="008C4FEA" w:rsidRDefault="00F72B77" w:rsidP="00045FED">
      <w:pPr>
        <w:jc w:val="both"/>
      </w:pPr>
      <w:r w:rsidRPr="00F72B77">
        <w:rPr>
          <w:b/>
        </w:rPr>
        <w:t xml:space="preserve">Figure </w:t>
      </w:r>
      <w:r w:rsidR="00722181">
        <w:rPr>
          <w:b/>
        </w:rPr>
        <w:t>S</w:t>
      </w:r>
      <w:r w:rsidRPr="00F72B77">
        <w:rPr>
          <w:b/>
        </w:rPr>
        <w:t>1</w:t>
      </w:r>
      <w:r>
        <w:t xml:space="preserve"> </w:t>
      </w:r>
      <w:r w:rsidR="006B1FE8">
        <w:t xml:space="preserve">Multiple-grain and single-grain </w:t>
      </w:r>
      <w:r>
        <w:t xml:space="preserve">OSL dose-recovery test results for sample </w:t>
      </w:r>
      <w:r w:rsidR="00D544A3">
        <w:t>LM</w:t>
      </w:r>
      <w:r w:rsidR="00EF7CF0">
        <w:t>17188-03</w:t>
      </w:r>
      <w:r>
        <w:t>.</w:t>
      </w:r>
      <w:r w:rsidR="006B1FE8">
        <w:t xml:space="preserve"> (a)</w:t>
      </w:r>
      <w:r>
        <w:t xml:space="preserve"> </w:t>
      </w:r>
      <w:r w:rsidR="009E35A7">
        <w:t>Measured</w:t>
      </w:r>
      <w:r>
        <w:t xml:space="preserve">-to-given dose ratios versus </w:t>
      </w:r>
      <w:r w:rsidR="009E35A7">
        <w:t>regenerative dose preheat (</w:t>
      </w:r>
      <w:r>
        <w:t>PH</w:t>
      </w:r>
      <w:r w:rsidRPr="00556AF3">
        <w:rPr>
          <w:vertAlign w:val="subscript"/>
        </w:rPr>
        <w:t>1</w:t>
      </w:r>
      <w:r w:rsidR="009E35A7">
        <w:t>) and test dose preheat (PH</w:t>
      </w:r>
      <w:r w:rsidR="009E35A7" w:rsidRPr="009E35A7">
        <w:rPr>
          <w:vertAlign w:val="subscript"/>
        </w:rPr>
        <w:t>2</w:t>
      </w:r>
      <w:r w:rsidR="009E35A7">
        <w:t xml:space="preserve">) </w:t>
      </w:r>
      <w:r>
        <w:t>temperature (held for 10 s) for ~</w:t>
      </w:r>
      <w:r w:rsidR="00EF7CF0">
        <w:t>1</w:t>
      </w:r>
      <w:r>
        <w:t xml:space="preserve">0-grain aliquots. The natural OSL signals of the multi-grain aliquots were optically bleached with two 1000 s blue LED illuminations at ambient temperature, each separated by a 10 000 s pause. A known dose of </w:t>
      </w:r>
      <w:r w:rsidR="00A33ECC">
        <w:t>1</w:t>
      </w:r>
      <w:r w:rsidR="00EF7CF0">
        <w:t>0</w:t>
      </w:r>
      <w:r w:rsidR="00A83669">
        <w:t>0</w:t>
      </w:r>
      <w:r>
        <w:t xml:space="preserve"> </w:t>
      </w:r>
      <w:proofErr w:type="spellStart"/>
      <w:r>
        <w:t>Gy</w:t>
      </w:r>
      <w:proofErr w:type="spellEnd"/>
      <w:r>
        <w:t xml:space="preserve"> was then administered to each aliquot and </w:t>
      </w:r>
      <w:r w:rsidR="009E35A7">
        <w:t>a</w:t>
      </w:r>
      <w:r>
        <w:t xml:space="preserve"> </w:t>
      </w:r>
      <w:r w:rsidR="00A83669">
        <w:t xml:space="preserve">multi-grain aliquot </w:t>
      </w:r>
      <w:r w:rsidR="009E35A7">
        <w:t xml:space="preserve">version of the </w:t>
      </w:r>
      <w:r>
        <w:t xml:space="preserve">SAR procedure shown in </w:t>
      </w:r>
      <w:r w:rsidR="00A83669" w:rsidRPr="00A33ECC">
        <w:rPr>
          <w:b/>
        </w:rPr>
        <w:t xml:space="preserve">Table </w:t>
      </w:r>
      <w:r w:rsidR="00A359A9" w:rsidRPr="00A33ECC">
        <w:rPr>
          <w:b/>
        </w:rPr>
        <w:t>S1</w:t>
      </w:r>
      <w:r>
        <w:t xml:space="preserve"> was subsequently used to estimate this dose</w:t>
      </w:r>
      <w:r w:rsidR="009E35A7">
        <w:t xml:space="preserve"> (</w:t>
      </w:r>
      <w:r w:rsidR="009E35A7" w:rsidRPr="009E35A7">
        <w:t xml:space="preserve">replacing 125°C green laser stimulations with 125°C blue LED stimulations for 60 </w:t>
      </w:r>
      <w:proofErr w:type="gramStart"/>
      <w:r w:rsidR="009E35A7" w:rsidRPr="009E35A7">
        <w:t>s, and</w:t>
      </w:r>
      <w:proofErr w:type="gramEnd"/>
      <w:r w:rsidR="009E35A7" w:rsidRPr="009E35A7">
        <w:t xml:space="preserve"> inserting a 50°C IR bleach for 40 s prior to each OSL measurement to remove any feldspar signal contamination)</w:t>
      </w:r>
      <w:r>
        <w:t>.</w:t>
      </w:r>
      <w:r w:rsidR="006B1FE8">
        <w:t xml:space="preserve"> (b) </w:t>
      </w:r>
      <w:r w:rsidR="006B1FE8">
        <w:rPr>
          <w:iCs/>
        </w:rPr>
        <w:t>Measured-to-</w:t>
      </w:r>
      <w:r w:rsidR="006B1FE8" w:rsidRPr="006B1FE8">
        <w:rPr>
          <w:iCs/>
        </w:rPr>
        <w:t xml:space="preserve">given dose ratios obtained for individual quartz grains of sample </w:t>
      </w:r>
      <w:r w:rsidR="00EF7CF0">
        <w:rPr>
          <w:iCs/>
        </w:rPr>
        <w:t>LM17188-03</w:t>
      </w:r>
      <w:r w:rsidR="006B1FE8" w:rsidRPr="006B1FE8">
        <w:rPr>
          <w:iCs/>
        </w:rPr>
        <w:t xml:space="preserve"> in the </w:t>
      </w:r>
      <w:r w:rsidR="006B1FE8">
        <w:rPr>
          <w:iCs/>
        </w:rPr>
        <w:t xml:space="preserve">single-grain </w:t>
      </w:r>
      <w:r w:rsidR="006B1FE8" w:rsidRPr="006B1FE8">
        <w:rPr>
          <w:iCs/>
        </w:rPr>
        <w:t xml:space="preserve">SAR dose-recovery test. The grey shaded region is centred on the administered dose for each grain (sample average = </w:t>
      </w:r>
      <w:r w:rsidR="00EF7CF0">
        <w:rPr>
          <w:iCs/>
        </w:rPr>
        <w:t>200</w:t>
      </w:r>
      <w:r w:rsidR="006B1FE8" w:rsidRPr="006B1FE8">
        <w:rPr>
          <w:iCs/>
        </w:rPr>
        <w:t xml:space="preserve"> </w:t>
      </w:r>
      <w:proofErr w:type="spellStart"/>
      <w:r w:rsidR="006B1FE8" w:rsidRPr="006B1FE8">
        <w:rPr>
          <w:iCs/>
        </w:rPr>
        <w:t>Gy</w:t>
      </w:r>
      <w:proofErr w:type="spellEnd"/>
      <w:r w:rsidR="006B1FE8" w:rsidRPr="006B1FE8">
        <w:rPr>
          <w:iCs/>
        </w:rPr>
        <w:t>). Individual D</w:t>
      </w:r>
      <w:r w:rsidR="006B1FE8" w:rsidRPr="006B1FE8">
        <w:rPr>
          <w:iCs/>
          <w:vertAlign w:val="subscript"/>
        </w:rPr>
        <w:t>e</w:t>
      </w:r>
      <w:r w:rsidR="006B1FE8" w:rsidRPr="006B1FE8">
        <w:rPr>
          <w:iCs/>
        </w:rPr>
        <w:t xml:space="preserve"> values that fall within the shaded region are consistent with the administered dose at 2σ.</w:t>
      </w:r>
    </w:p>
    <w:p w14:paraId="36EC4E9E" w14:textId="4CA26C64" w:rsidR="00EF7CF0" w:rsidRDefault="00F72B77">
      <w:r>
        <w:br w:type="page"/>
      </w:r>
    </w:p>
    <w:p w14:paraId="5C9A9519" w14:textId="5644A1D2" w:rsidR="00F72B77" w:rsidRDefault="0027051B" w:rsidP="00045FED">
      <w:pPr>
        <w:jc w:val="both"/>
      </w:pPr>
      <w:r w:rsidRPr="0027051B">
        <w:rPr>
          <w:noProof/>
        </w:rPr>
        <w:lastRenderedPageBreak/>
        <w:drawing>
          <wp:anchor distT="0" distB="0" distL="114300" distR="114300" simplePos="0" relativeHeight="251641852" behindDoc="0" locked="0" layoutInCell="1" allowOverlap="1" wp14:anchorId="1B8AB55F" wp14:editId="21F34323">
            <wp:simplePos x="0" y="0"/>
            <wp:positionH relativeFrom="column">
              <wp:posOffset>-93980</wp:posOffset>
            </wp:positionH>
            <wp:positionV relativeFrom="paragraph">
              <wp:posOffset>107950</wp:posOffset>
            </wp:positionV>
            <wp:extent cx="3487097" cy="2844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7097" cy="28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5A2" w:rsidRPr="00E645A2">
        <w:rPr>
          <w:noProof/>
        </w:rPr>
        <w:drawing>
          <wp:anchor distT="0" distB="0" distL="114300" distR="114300" simplePos="0" relativeHeight="251643901" behindDoc="0" locked="0" layoutInCell="1" allowOverlap="1" wp14:anchorId="5A1336EB" wp14:editId="0C634C57">
            <wp:simplePos x="0" y="0"/>
            <wp:positionH relativeFrom="column">
              <wp:posOffset>3307080</wp:posOffset>
            </wp:positionH>
            <wp:positionV relativeFrom="paragraph">
              <wp:posOffset>106680</wp:posOffset>
            </wp:positionV>
            <wp:extent cx="3486785" cy="284353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6785" cy="284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0D0BA" w14:textId="05BF9F92" w:rsidR="00DC316B" w:rsidRDefault="0027051B" w:rsidP="00045FED">
      <w:pPr>
        <w:jc w:val="both"/>
      </w:pPr>
      <w:r w:rsidRPr="0027051B">
        <w:rPr>
          <w:noProof/>
        </w:rPr>
        <w:drawing>
          <wp:anchor distT="0" distB="0" distL="114300" distR="114300" simplePos="0" relativeHeight="251642876" behindDoc="0" locked="0" layoutInCell="1" allowOverlap="1" wp14:anchorId="6F78D166" wp14:editId="16098AC0">
            <wp:simplePos x="0" y="0"/>
            <wp:positionH relativeFrom="column">
              <wp:posOffset>811530</wp:posOffset>
            </wp:positionH>
            <wp:positionV relativeFrom="paragraph">
              <wp:posOffset>34290</wp:posOffset>
            </wp:positionV>
            <wp:extent cx="2489055" cy="19080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9055" cy="190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45A2" w:rsidRPr="00E645A2">
        <w:rPr>
          <w:noProof/>
        </w:rPr>
        <w:drawing>
          <wp:anchor distT="0" distB="0" distL="114300" distR="114300" simplePos="0" relativeHeight="251671552" behindDoc="0" locked="0" layoutInCell="1" allowOverlap="1" wp14:anchorId="78771EF1" wp14:editId="04EE90C2">
            <wp:simplePos x="0" y="0"/>
            <wp:positionH relativeFrom="column">
              <wp:posOffset>4259580</wp:posOffset>
            </wp:positionH>
            <wp:positionV relativeFrom="paragraph">
              <wp:posOffset>26670</wp:posOffset>
            </wp:positionV>
            <wp:extent cx="2489165" cy="19080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9165" cy="19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4346E" w14:textId="413B7153" w:rsidR="00DC316B" w:rsidRDefault="00DC316B" w:rsidP="00045FED">
      <w:pPr>
        <w:jc w:val="both"/>
      </w:pPr>
    </w:p>
    <w:p w14:paraId="3E7C3707" w14:textId="18E5B456" w:rsidR="00DC316B" w:rsidRDefault="00DC316B" w:rsidP="00045FED">
      <w:pPr>
        <w:jc w:val="both"/>
      </w:pPr>
    </w:p>
    <w:p w14:paraId="3E57E3EE" w14:textId="0F3E5CC1" w:rsidR="00DC316B" w:rsidRDefault="0027051B" w:rsidP="00045FED">
      <w:pPr>
        <w:jc w:val="both"/>
      </w:pPr>
      <w:r>
        <w:rPr>
          <w:b/>
          <w:noProof/>
          <w:lang w:val="en-AU" w:eastAsia="en-AU"/>
        </w:rPr>
        <mc:AlternateContent>
          <mc:Choice Requires="wps">
            <w:drawing>
              <wp:anchor distT="0" distB="0" distL="114300" distR="114300" simplePos="0" relativeHeight="251672576" behindDoc="0" locked="0" layoutInCell="1" allowOverlap="1" wp14:anchorId="524BD024" wp14:editId="076C79CD">
                <wp:simplePos x="0" y="0"/>
                <wp:positionH relativeFrom="column">
                  <wp:posOffset>5555615</wp:posOffset>
                </wp:positionH>
                <wp:positionV relativeFrom="paragraph">
                  <wp:posOffset>139065</wp:posOffset>
                </wp:positionV>
                <wp:extent cx="1087755" cy="51435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BF2B6" w14:textId="5A00F1B6"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0</w:t>
                            </w:r>
                            <w:r w:rsidRPr="001A7284">
                              <w:rPr>
                                <w:rFonts w:ascii="Arial" w:hAnsi="Arial" w:cs="Arial"/>
                                <w:sz w:val="18"/>
                                <w:szCs w:val="18"/>
                              </w:rPr>
                              <w:t xml:space="preserve"> = </w:t>
                            </w:r>
                            <w:r w:rsidR="00E645A2">
                              <w:rPr>
                                <w:rFonts w:ascii="Arial" w:hAnsi="Arial" w:cs="Arial"/>
                                <w:sz w:val="18"/>
                                <w:szCs w:val="18"/>
                              </w:rPr>
                              <w:t>164</w:t>
                            </w:r>
                            <w:r w:rsidRPr="001A7284">
                              <w:rPr>
                                <w:rFonts w:ascii="Arial" w:hAnsi="Arial" w:cs="Arial"/>
                                <w:sz w:val="18"/>
                                <w:szCs w:val="18"/>
                              </w:rPr>
                              <w:t xml:space="preserve"> ± </w:t>
                            </w:r>
                            <w:r w:rsidR="00E645A2">
                              <w:rPr>
                                <w:rFonts w:ascii="Arial" w:hAnsi="Arial" w:cs="Arial"/>
                                <w:sz w:val="18"/>
                                <w:szCs w:val="18"/>
                              </w:rPr>
                              <w:t>7</w:t>
                            </w:r>
                            <w:r w:rsidRPr="001A7284">
                              <w:rPr>
                                <w:rFonts w:ascii="Arial" w:hAnsi="Arial" w:cs="Arial"/>
                                <w:sz w:val="18"/>
                                <w:szCs w:val="18"/>
                              </w:rPr>
                              <w:t xml:space="preserve"> Gy</w:t>
                            </w:r>
                          </w:p>
                          <w:p w14:paraId="2A1AFFC5" w14:textId="77777777" w:rsidR="00FA529D" w:rsidRPr="00DC316B" w:rsidRDefault="00FA529D" w:rsidP="00DC316B">
                            <w:pPr>
                              <w:rPr>
                                <w:rFonts w:ascii="Arial" w:hAnsi="Arial" w:cs="Arial"/>
                                <w:sz w:val="8"/>
                                <w:szCs w:val="8"/>
                              </w:rPr>
                            </w:pPr>
                          </w:p>
                          <w:p w14:paraId="68D2DF43" w14:textId="3EB6D3DF"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e</w:t>
                            </w:r>
                            <w:r w:rsidRPr="001A7284">
                              <w:rPr>
                                <w:rFonts w:ascii="Arial" w:hAnsi="Arial" w:cs="Arial"/>
                                <w:sz w:val="18"/>
                                <w:szCs w:val="18"/>
                              </w:rPr>
                              <w:t xml:space="preserve"> = </w:t>
                            </w:r>
                            <w:r w:rsidR="00E645A2">
                              <w:rPr>
                                <w:rFonts w:ascii="Arial" w:hAnsi="Arial" w:cs="Arial"/>
                                <w:sz w:val="18"/>
                                <w:szCs w:val="18"/>
                              </w:rPr>
                              <w:t>221</w:t>
                            </w:r>
                            <w:r w:rsidRPr="001A7284">
                              <w:rPr>
                                <w:rFonts w:ascii="Arial" w:hAnsi="Arial" w:cs="Arial"/>
                                <w:sz w:val="18"/>
                                <w:szCs w:val="18"/>
                              </w:rPr>
                              <w:t xml:space="preserve"> ± </w:t>
                            </w:r>
                            <w:r w:rsidR="00E645A2">
                              <w:rPr>
                                <w:rFonts w:ascii="Arial" w:hAnsi="Arial" w:cs="Arial"/>
                                <w:sz w:val="18"/>
                                <w:szCs w:val="18"/>
                              </w:rPr>
                              <w:t>21</w:t>
                            </w:r>
                            <w:r w:rsidRPr="001A7284">
                              <w:rPr>
                                <w:rFonts w:ascii="Arial" w:hAnsi="Arial" w:cs="Arial"/>
                                <w:sz w:val="18"/>
                                <w:szCs w:val="18"/>
                              </w:rPr>
                              <w:t xml:space="preserve"> 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BD024" id="Text Box 15" o:spid="_x0000_s1028" type="#_x0000_t202" style="position:absolute;left:0;text-align:left;margin-left:437.45pt;margin-top:10.95pt;width:85.6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" filled="f" stroked="f">
                <v:textbox>
                  <w:txbxContent>
                    <w:p w14:paraId="2C7BF2B6" w14:textId="5A00F1B6"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0</w:t>
                      </w:r>
                      <w:r w:rsidRPr="001A7284">
                        <w:rPr>
                          <w:rFonts w:ascii="Arial" w:hAnsi="Arial" w:cs="Arial"/>
                          <w:sz w:val="18"/>
                          <w:szCs w:val="18"/>
                        </w:rPr>
                        <w:t xml:space="preserve"> = </w:t>
                      </w:r>
                      <w:r w:rsidR="00E645A2">
                        <w:rPr>
                          <w:rFonts w:ascii="Arial" w:hAnsi="Arial" w:cs="Arial"/>
                          <w:sz w:val="18"/>
                          <w:szCs w:val="18"/>
                        </w:rPr>
                        <w:t>164</w:t>
                      </w:r>
                      <w:r w:rsidRPr="001A7284">
                        <w:rPr>
                          <w:rFonts w:ascii="Arial" w:hAnsi="Arial" w:cs="Arial"/>
                          <w:sz w:val="18"/>
                          <w:szCs w:val="18"/>
                        </w:rPr>
                        <w:t xml:space="preserve"> ± </w:t>
                      </w:r>
                      <w:r w:rsidR="00E645A2">
                        <w:rPr>
                          <w:rFonts w:ascii="Arial" w:hAnsi="Arial" w:cs="Arial"/>
                          <w:sz w:val="18"/>
                          <w:szCs w:val="18"/>
                        </w:rPr>
                        <w:t>7</w:t>
                      </w:r>
                      <w:r w:rsidRPr="001A7284">
                        <w:rPr>
                          <w:rFonts w:ascii="Arial" w:hAnsi="Arial" w:cs="Arial"/>
                          <w:sz w:val="18"/>
                          <w:szCs w:val="18"/>
                        </w:rPr>
                        <w:t xml:space="preserve"> Gy</w:t>
                      </w:r>
                    </w:p>
                    <w:p w14:paraId="2A1AFFC5" w14:textId="77777777" w:rsidR="00FA529D" w:rsidRPr="00DC316B" w:rsidRDefault="00FA529D" w:rsidP="00DC316B">
                      <w:pPr>
                        <w:rPr>
                          <w:rFonts w:ascii="Arial" w:hAnsi="Arial" w:cs="Arial"/>
                          <w:sz w:val="8"/>
                          <w:szCs w:val="8"/>
                        </w:rPr>
                      </w:pPr>
                    </w:p>
                    <w:p w14:paraId="68D2DF43" w14:textId="3EB6D3DF"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e</w:t>
                      </w:r>
                      <w:r w:rsidRPr="001A7284">
                        <w:rPr>
                          <w:rFonts w:ascii="Arial" w:hAnsi="Arial" w:cs="Arial"/>
                          <w:sz w:val="18"/>
                          <w:szCs w:val="18"/>
                        </w:rPr>
                        <w:t xml:space="preserve"> = </w:t>
                      </w:r>
                      <w:r w:rsidR="00E645A2">
                        <w:rPr>
                          <w:rFonts w:ascii="Arial" w:hAnsi="Arial" w:cs="Arial"/>
                          <w:sz w:val="18"/>
                          <w:szCs w:val="18"/>
                        </w:rPr>
                        <w:t>221</w:t>
                      </w:r>
                      <w:r w:rsidRPr="001A7284">
                        <w:rPr>
                          <w:rFonts w:ascii="Arial" w:hAnsi="Arial" w:cs="Arial"/>
                          <w:sz w:val="18"/>
                          <w:szCs w:val="18"/>
                        </w:rPr>
                        <w:t xml:space="preserve"> ± </w:t>
                      </w:r>
                      <w:r w:rsidR="00E645A2">
                        <w:rPr>
                          <w:rFonts w:ascii="Arial" w:hAnsi="Arial" w:cs="Arial"/>
                          <w:sz w:val="18"/>
                          <w:szCs w:val="18"/>
                        </w:rPr>
                        <w:t>21</w:t>
                      </w:r>
                      <w:r w:rsidRPr="001A7284">
                        <w:rPr>
                          <w:rFonts w:ascii="Arial" w:hAnsi="Arial" w:cs="Arial"/>
                          <w:sz w:val="18"/>
                          <w:szCs w:val="18"/>
                        </w:rPr>
                        <w:t xml:space="preserve"> Gy</w:t>
                      </w:r>
                    </w:p>
                  </w:txbxContent>
                </v:textbox>
              </v:shape>
            </w:pict>
          </mc:Fallback>
        </mc:AlternateContent>
      </w:r>
      <w:r>
        <w:rPr>
          <w:noProof/>
          <w:lang w:val="en-AU" w:eastAsia="en-AU"/>
        </w:rPr>
        <mc:AlternateContent>
          <mc:Choice Requires="wps">
            <w:drawing>
              <wp:anchor distT="0" distB="0" distL="114300" distR="114300" simplePos="0" relativeHeight="251652096" behindDoc="0" locked="0" layoutInCell="1" allowOverlap="1" wp14:anchorId="5AB0ADA3" wp14:editId="667922D1">
                <wp:simplePos x="0" y="0"/>
                <wp:positionH relativeFrom="column">
                  <wp:posOffset>2112645</wp:posOffset>
                </wp:positionH>
                <wp:positionV relativeFrom="paragraph">
                  <wp:posOffset>146685</wp:posOffset>
                </wp:positionV>
                <wp:extent cx="1087755" cy="51435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D28D9" w14:textId="2F0D0D18"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0</w:t>
                            </w:r>
                            <w:r w:rsidRPr="001A7284">
                              <w:rPr>
                                <w:rFonts w:ascii="Arial" w:hAnsi="Arial" w:cs="Arial"/>
                                <w:sz w:val="18"/>
                                <w:szCs w:val="18"/>
                              </w:rPr>
                              <w:t xml:space="preserve"> = </w:t>
                            </w:r>
                            <w:r w:rsidR="0027051B">
                              <w:rPr>
                                <w:rFonts w:ascii="Arial" w:hAnsi="Arial" w:cs="Arial"/>
                                <w:sz w:val="18"/>
                                <w:szCs w:val="18"/>
                              </w:rPr>
                              <w:t>169</w:t>
                            </w:r>
                            <w:r w:rsidRPr="001A7284">
                              <w:rPr>
                                <w:rFonts w:ascii="Arial" w:hAnsi="Arial" w:cs="Arial"/>
                                <w:sz w:val="18"/>
                                <w:szCs w:val="18"/>
                              </w:rPr>
                              <w:t xml:space="preserve"> ± </w:t>
                            </w:r>
                            <w:r>
                              <w:rPr>
                                <w:rFonts w:ascii="Arial" w:hAnsi="Arial" w:cs="Arial"/>
                                <w:sz w:val="18"/>
                                <w:szCs w:val="18"/>
                              </w:rPr>
                              <w:t>1</w:t>
                            </w:r>
                            <w:r w:rsidR="0027051B">
                              <w:rPr>
                                <w:rFonts w:ascii="Arial" w:hAnsi="Arial" w:cs="Arial"/>
                                <w:sz w:val="18"/>
                                <w:szCs w:val="18"/>
                              </w:rPr>
                              <w:t>7</w:t>
                            </w:r>
                            <w:r w:rsidRPr="001A7284">
                              <w:rPr>
                                <w:rFonts w:ascii="Arial" w:hAnsi="Arial" w:cs="Arial"/>
                                <w:sz w:val="18"/>
                                <w:szCs w:val="18"/>
                              </w:rPr>
                              <w:t xml:space="preserve"> Gy</w:t>
                            </w:r>
                          </w:p>
                          <w:p w14:paraId="03B4BF6A" w14:textId="77777777" w:rsidR="00FA529D" w:rsidRPr="00DC316B" w:rsidRDefault="00FA529D" w:rsidP="00DC316B">
                            <w:pPr>
                              <w:rPr>
                                <w:rFonts w:ascii="Arial" w:hAnsi="Arial" w:cs="Arial"/>
                                <w:sz w:val="8"/>
                                <w:szCs w:val="8"/>
                              </w:rPr>
                            </w:pPr>
                          </w:p>
                          <w:p w14:paraId="481FE9EC" w14:textId="308ECD3F"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e</w:t>
                            </w:r>
                            <w:r w:rsidRPr="001A7284">
                              <w:rPr>
                                <w:rFonts w:ascii="Arial" w:hAnsi="Arial" w:cs="Arial"/>
                                <w:sz w:val="18"/>
                                <w:szCs w:val="18"/>
                              </w:rPr>
                              <w:t xml:space="preserve"> = </w:t>
                            </w:r>
                            <w:r w:rsidR="0027051B">
                              <w:rPr>
                                <w:rFonts w:ascii="Arial" w:hAnsi="Arial" w:cs="Arial"/>
                                <w:sz w:val="18"/>
                                <w:szCs w:val="18"/>
                              </w:rPr>
                              <w:t>281</w:t>
                            </w:r>
                            <w:r w:rsidRPr="001A7284">
                              <w:rPr>
                                <w:rFonts w:ascii="Arial" w:hAnsi="Arial" w:cs="Arial"/>
                                <w:sz w:val="18"/>
                                <w:szCs w:val="18"/>
                              </w:rPr>
                              <w:t xml:space="preserve"> ± </w:t>
                            </w:r>
                            <w:r w:rsidR="0027051B">
                              <w:rPr>
                                <w:rFonts w:ascii="Arial" w:hAnsi="Arial" w:cs="Arial"/>
                                <w:sz w:val="18"/>
                                <w:szCs w:val="18"/>
                              </w:rPr>
                              <w:t>59</w:t>
                            </w:r>
                            <w:r w:rsidRPr="001A7284">
                              <w:rPr>
                                <w:rFonts w:ascii="Arial" w:hAnsi="Arial" w:cs="Arial"/>
                                <w:sz w:val="18"/>
                                <w:szCs w:val="18"/>
                              </w:rPr>
                              <w:t xml:space="preserve"> 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0ADA3" id="_x0000_s1029" type="#_x0000_t202" style="position:absolute;left:0;text-align:left;margin-left:166.35pt;margin-top:11.55pt;width:85.6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" filled="f" stroked="f">
                <v:textbox>
                  <w:txbxContent>
                    <w:p w14:paraId="121D28D9" w14:textId="2F0D0D18"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0</w:t>
                      </w:r>
                      <w:r w:rsidRPr="001A7284">
                        <w:rPr>
                          <w:rFonts w:ascii="Arial" w:hAnsi="Arial" w:cs="Arial"/>
                          <w:sz w:val="18"/>
                          <w:szCs w:val="18"/>
                        </w:rPr>
                        <w:t xml:space="preserve"> = </w:t>
                      </w:r>
                      <w:r w:rsidR="0027051B">
                        <w:rPr>
                          <w:rFonts w:ascii="Arial" w:hAnsi="Arial" w:cs="Arial"/>
                          <w:sz w:val="18"/>
                          <w:szCs w:val="18"/>
                        </w:rPr>
                        <w:t>169</w:t>
                      </w:r>
                      <w:r w:rsidRPr="001A7284">
                        <w:rPr>
                          <w:rFonts w:ascii="Arial" w:hAnsi="Arial" w:cs="Arial"/>
                          <w:sz w:val="18"/>
                          <w:szCs w:val="18"/>
                        </w:rPr>
                        <w:t xml:space="preserve"> ± </w:t>
                      </w:r>
                      <w:r>
                        <w:rPr>
                          <w:rFonts w:ascii="Arial" w:hAnsi="Arial" w:cs="Arial"/>
                          <w:sz w:val="18"/>
                          <w:szCs w:val="18"/>
                        </w:rPr>
                        <w:t>1</w:t>
                      </w:r>
                      <w:r w:rsidR="0027051B">
                        <w:rPr>
                          <w:rFonts w:ascii="Arial" w:hAnsi="Arial" w:cs="Arial"/>
                          <w:sz w:val="18"/>
                          <w:szCs w:val="18"/>
                        </w:rPr>
                        <w:t>7</w:t>
                      </w:r>
                      <w:r w:rsidRPr="001A7284">
                        <w:rPr>
                          <w:rFonts w:ascii="Arial" w:hAnsi="Arial" w:cs="Arial"/>
                          <w:sz w:val="18"/>
                          <w:szCs w:val="18"/>
                        </w:rPr>
                        <w:t xml:space="preserve"> Gy</w:t>
                      </w:r>
                    </w:p>
                    <w:p w14:paraId="03B4BF6A" w14:textId="77777777" w:rsidR="00FA529D" w:rsidRPr="00DC316B" w:rsidRDefault="00FA529D" w:rsidP="00DC316B">
                      <w:pPr>
                        <w:rPr>
                          <w:rFonts w:ascii="Arial" w:hAnsi="Arial" w:cs="Arial"/>
                          <w:sz w:val="8"/>
                          <w:szCs w:val="8"/>
                        </w:rPr>
                      </w:pPr>
                    </w:p>
                    <w:p w14:paraId="481FE9EC" w14:textId="308ECD3F"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e</w:t>
                      </w:r>
                      <w:r w:rsidRPr="001A7284">
                        <w:rPr>
                          <w:rFonts w:ascii="Arial" w:hAnsi="Arial" w:cs="Arial"/>
                          <w:sz w:val="18"/>
                          <w:szCs w:val="18"/>
                        </w:rPr>
                        <w:t xml:space="preserve"> = </w:t>
                      </w:r>
                      <w:r w:rsidR="0027051B">
                        <w:rPr>
                          <w:rFonts w:ascii="Arial" w:hAnsi="Arial" w:cs="Arial"/>
                          <w:sz w:val="18"/>
                          <w:szCs w:val="18"/>
                        </w:rPr>
                        <w:t>281</w:t>
                      </w:r>
                      <w:r w:rsidRPr="001A7284">
                        <w:rPr>
                          <w:rFonts w:ascii="Arial" w:hAnsi="Arial" w:cs="Arial"/>
                          <w:sz w:val="18"/>
                          <w:szCs w:val="18"/>
                        </w:rPr>
                        <w:t xml:space="preserve"> ± </w:t>
                      </w:r>
                      <w:r w:rsidR="0027051B">
                        <w:rPr>
                          <w:rFonts w:ascii="Arial" w:hAnsi="Arial" w:cs="Arial"/>
                          <w:sz w:val="18"/>
                          <w:szCs w:val="18"/>
                        </w:rPr>
                        <w:t>59</w:t>
                      </w:r>
                      <w:r w:rsidRPr="001A7284">
                        <w:rPr>
                          <w:rFonts w:ascii="Arial" w:hAnsi="Arial" w:cs="Arial"/>
                          <w:sz w:val="18"/>
                          <w:szCs w:val="18"/>
                        </w:rPr>
                        <w:t xml:space="preserve"> Gy</w:t>
                      </w:r>
                    </w:p>
                  </w:txbxContent>
                </v:textbox>
              </v:shape>
            </w:pict>
          </mc:Fallback>
        </mc:AlternateContent>
      </w:r>
    </w:p>
    <w:p w14:paraId="4CCFF9E0" w14:textId="76BC18F6" w:rsidR="00DC316B" w:rsidRDefault="00DC316B" w:rsidP="00045FED">
      <w:pPr>
        <w:jc w:val="both"/>
      </w:pPr>
    </w:p>
    <w:p w14:paraId="61B1ED1A" w14:textId="78CA28BB" w:rsidR="00DC316B" w:rsidRDefault="00DC316B" w:rsidP="00045FED">
      <w:pPr>
        <w:jc w:val="both"/>
      </w:pPr>
    </w:p>
    <w:p w14:paraId="01E1D96A" w14:textId="7B3E30AA" w:rsidR="00DC316B" w:rsidRDefault="00DC316B" w:rsidP="00045FED">
      <w:pPr>
        <w:jc w:val="both"/>
      </w:pPr>
    </w:p>
    <w:p w14:paraId="505E5840" w14:textId="5CB025A7" w:rsidR="00DC316B" w:rsidRDefault="00DC316B" w:rsidP="00045FED">
      <w:pPr>
        <w:jc w:val="both"/>
      </w:pPr>
    </w:p>
    <w:p w14:paraId="4E6C778D" w14:textId="2F50041B" w:rsidR="00DC316B" w:rsidRDefault="00DC316B" w:rsidP="00045FED">
      <w:pPr>
        <w:jc w:val="both"/>
      </w:pPr>
    </w:p>
    <w:p w14:paraId="32334712" w14:textId="06DE9ACA" w:rsidR="00DC316B" w:rsidRDefault="00DC316B" w:rsidP="00045FED">
      <w:pPr>
        <w:jc w:val="both"/>
      </w:pPr>
    </w:p>
    <w:p w14:paraId="743A5820" w14:textId="7A28CB3A" w:rsidR="00DC316B" w:rsidRDefault="00DC316B" w:rsidP="00045FED">
      <w:pPr>
        <w:jc w:val="both"/>
      </w:pPr>
    </w:p>
    <w:p w14:paraId="7D53B49D" w14:textId="68DAC09D" w:rsidR="00051296" w:rsidRDefault="0027051B" w:rsidP="00045FED">
      <w:pPr>
        <w:jc w:val="both"/>
      </w:pPr>
      <w:r>
        <w:rPr>
          <w:b/>
          <w:noProof/>
          <w:lang w:val="en-AU" w:eastAsia="en-AU"/>
        </w:rPr>
        <mc:AlternateContent>
          <mc:Choice Requires="wps">
            <w:drawing>
              <wp:anchor distT="0" distB="0" distL="114300" distR="114300" simplePos="0" relativeHeight="251657216" behindDoc="0" locked="0" layoutInCell="1" allowOverlap="1" wp14:anchorId="6B0CAB32" wp14:editId="2866DE36">
                <wp:simplePos x="0" y="0"/>
                <wp:positionH relativeFrom="column">
                  <wp:posOffset>2921000</wp:posOffset>
                </wp:positionH>
                <wp:positionV relativeFrom="paragraph">
                  <wp:posOffset>38735</wp:posOffset>
                </wp:positionV>
                <wp:extent cx="385445" cy="314325"/>
                <wp:effectExtent l="0" t="0" r="0" b="9525"/>
                <wp:wrapNone/>
                <wp:docPr id="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68D8C" w14:textId="77777777" w:rsidR="00FA529D" w:rsidRDefault="00FA529D" w:rsidP="00DC4F0B">
                            <w:pPr>
                              <w:rPr>
                                <w:rFonts w:ascii="Arial" w:hAnsi="Arial"/>
                                <w:sz w:val="20"/>
                              </w:rPr>
                            </w:pPr>
                            <w:r>
                              <w:rPr>
                                <w:rFonts w:ascii="Arial" w:hAnsi="Arial"/>
                                <w:sz w:val="20"/>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AB32" id="Text Box 95" o:spid="_x0000_s1030" type="#_x0000_t202" style="position:absolute;left:0;text-align:left;margin-left:230pt;margin-top:3.05pt;width:30.3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" filled="f" stroked="f">
                <v:textbox>
                  <w:txbxContent>
                    <w:p w14:paraId="36E68D8C" w14:textId="77777777" w:rsidR="00FA529D" w:rsidRDefault="00FA529D" w:rsidP="00DC4F0B">
                      <w:pPr>
                        <w:rPr>
                          <w:rFonts w:ascii="Arial" w:hAnsi="Arial"/>
                          <w:sz w:val="20"/>
                        </w:rPr>
                      </w:pPr>
                      <w:r>
                        <w:rPr>
                          <w:rFonts w:ascii="Arial" w:hAnsi="Arial"/>
                          <w:sz w:val="20"/>
                        </w:rPr>
                        <w:t>(a)</w:t>
                      </w:r>
                    </w:p>
                  </w:txbxContent>
                </v:textbox>
              </v:shape>
            </w:pict>
          </mc:Fallback>
        </mc:AlternateContent>
      </w:r>
      <w:r w:rsidR="00E645A2">
        <w:rPr>
          <w:noProof/>
          <w:lang w:val="en-AU" w:eastAsia="en-AU"/>
        </w:rPr>
        <mc:AlternateContent>
          <mc:Choice Requires="wps">
            <w:drawing>
              <wp:anchor distT="0" distB="0" distL="114300" distR="114300" simplePos="0" relativeHeight="251656192" behindDoc="0" locked="0" layoutInCell="1" allowOverlap="1" wp14:anchorId="417CC7E0" wp14:editId="65CA4819">
                <wp:simplePos x="0" y="0"/>
                <wp:positionH relativeFrom="column">
                  <wp:posOffset>6360160</wp:posOffset>
                </wp:positionH>
                <wp:positionV relativeFrom="paragraph">
                  <wp:posOffset>46990</wp:posOffset>
                </wp:positionV>
                <wp:extent cx="385445" cy="314325"/>
                <wp:effectExtent l="0" t="0" r="0" b="9525"/>
                <wp:wrapNone/>
                <wp:docPr id="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039CF" w14:textId="77777777" w:rsidR="00FA529D" w:rsidRDefault="00FA529D" w:rsidP="00DC4F0B">
                            <w:pPr>
                              <w:rPr>
                                <w:rFonts w:ascii="Arial" w:hAnsi="Arial"/>
                                <w:sz w:val="20"/>
                              </w:rPr>
                            </w:pPr>
                            <w:r>
                              <w:rPr>
                                <w:rFonts w:ascii="Arial" w:hAnsi="Arial"/>
                                <w:sz w:val="2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CC7E0" id="Text Box 91" o:spid="_x0000_s1031" type="#_x0000_t202" style="position:absolute;left:0;text-align:left;margin-left:500.8pt;margin-top:3.7pt;width:30.3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" filled="f" stroked="f">
                <v:textbox>
                  <w:txbxContent>
                    <w:p w14:paraId="38E039CF" w14:textId="77777777" w:rsidR="00FA529D" w:rsidRDefault="00FA529D" w:rsidP="00DC4F0B">
                      <w:pPr>
                        <w:rPr>
                          <w:rFonts w:ascii="Arial" w:hAnsi="Arial"/>
                          <w:sz w:val="20"/>
                        </w:rPr>
                      </w:pPr>
                      <w:r>
                        <w:rPr>
                          <w:rFonts w:ascii="Arial" w:hAnsi="Arial"/>
                          <w:sz w:val="20"/>
                        </w:rPr>
                        <w:t>(b)</w:t>
                      </w:r>
                    </w:p>
                  </w:txbxContent>
                </v:textbox>
              </v:shape>
            </w:pict>
          </mc:Fallback>
        </mc:AlternateContent>
      </w:r>
    </w:p>
    <w:p w14:paraId="0F44E7F2" w14:textId="2192547A" w:rsidR="00051296" w:rsidRDefault="00051296" w:rsidP="00045FED">
      <w:pPr>
        <w:jc w:val="both"/>
      </w:pPr>
    </w:p>
    <w:p w14:paraId="6182DA98" w14:textId="239E105B" w:rsidR="00051296" w:rsidRDefault="00051296" w:rsidP="00045FED">
      <w:pPr>
        <w:jc w:val="both"/>
      </w:pPr>
    </w:p>
    <w:p w14:paraId="7408F572" w14:textId="74D9873E" w:rsidR="00F72B77" w:rsidRDefault="00F72B77" w:rsidP="00045FED">
      <w:pPr>
        <w:jc w:val="both"/>
      </w:pPr>
    </w:p>
    <w:p w14:paraId="16BD1CC3" w14:textId="114A2491" w:rsidR="00F72B77" w:rsidRDefault="003B6F4A" w:rsidP="00045FED">
      <w:pPr>
        <w:jc w:val="both"/>
      </w:pPr>
      <w:r w:rsidRPr="009966A5">
        <w:rPr>
          <w:noProof/>
        </w:rPr>
        <w:drawing>
          <wp:anchor distT="0" distB="0" distL="114300" distR="114300" simplePos="0" relativeHeight="251639803" behindDoc="0" locked="0" layoutInCell="1" allowOverlap="1" wp14:anchorId="2F890FA2" wp14:editId="67638A6D">
            <wp:simplePos x="0" y="0"/>
            <wp:positionH relativeFrom="column">
              <wp:posOffset>3309620</wp:posOffset>
            </wp:positionH>
            <wp:positionV relativeFrom="paragraph">
              <wp:posOffset>179070</wp:posOffset>
            </wp:positionV>
            <wp:extent cx="3486785" cy="284353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6785" cy="284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7F8" w:rsidRPr="004B17F8">
        <w:rPr>
          <w:noProof/>
        </w:rPr>
        <w:drawing>
          <wp:anchor distT="0" distB="0" distL="114300" distR="114300" simplePos="0" relativeHeight="251644926" behindDoc="0" locked="0" layoutInCell="1" allowOverlap="1" wp14:anchorId="403F27CE" wp14:editId="70C26B49">
            <wp:simplePos x="0" y="0"/>
            <wp:positionH relativeFrom="margin">
              <wp:posOffset>-104775</wp:posOffset>
            </wp:positionH>
            <wp:positionV relativeFrom="paragraph">
              <wp:posOffset>179070</wp:posOffset>
            </wp:positionV>
            <wp:extent cx="3486785" cy="28435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6785" cy="2843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5328A" w14:textId="64698526" w:rsidR="00F72B77" w:rsidRDefault="003B6F4A" w:rsidP="00045FED">
      <w:pPr>
        <w:jc w:val="both"/>
        <w:rPr>
          <w:b/>
        </w:rPr>
      </w:pPr>
      <w:r w:rsidRPr="003B6F4A">
        <w:rPr>
          <w:noProof/>
        </w:rPr>
        <w:drawing>
          <wp:anchor distT="0" distB="0" distL="114300" distR="114300" simplePos="0" relativeHeight="251640827" behindDoc="0" locked="0" layoutInCell="1" allowOverlap="1" wp14:anchorId="14D2ECED" wp14:editId="4F60FE4B">
            <wp:simplePos x="0" y="0"/>
            <wp:positionH relativeFrom="column">
              <wp:posOffset>4229735</wp:posOffset>
            </wp:positionH>
            <wp:positionV relativeFrom="paragraph">
              <wp:posOffset>89535</wp:posOffset>
            </wp:positionV>
            <wp:extent cx="2488565" cy="1907540"/>
            <wp:effectExtent l="0" t="0" r="698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8565" cy="190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49F4" w:rsidRPr="004B17F8">
        <w:rPr>
          <w:noProof/>
        </w:rPr>
        <w:drawing>
          <wp:anchor distT="0" distB="0" distL="114300" distR="114300" simplePos="0" relativeHeight="251668480" behindDoc="0" locked="0" layoutInCell="1" allowOverlap="1" wp14:anchorId="386939BB" wp14:editId="63FAE22A">
            <wp:simplePos x="0" y="0"/>
            <wp:positionH relativeFrom="margin">
              <wp:posOffset>809625</wp:posOffset>
            </wp:positionH>
            <wp:positionV relativeFrom="paragraph">
              <wp:posOffset>70485</wp:posOffset>
            </wp:positionV>
            <wp:extent cx="2488471" cy="1908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8471" cy="19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0BFD6" w14:textId="4502FACF" w:rsidR="00F72B77" w:rsidRDefault="00F72B77" w:rsidP="00045FED">
      <w:pPr>
        <w:jc w:val="both"/>
        <w:rPr>
          <w:b/>
        </w:rPr>
      </w:pPr>
    </w:p>
    <w:p w14:paraId="0A7C3735" w14:textId="3F576560" w:rsidR="00F72B77" w:rsidRDefault="00F72B77" w:rsidP="00045FED">
      <w:pPr>
        <w:jc w:val="both"/>
        <w:rPr>
          <w:b/>
        </w:rPr>
      </w:pPr>
    </w:p>
    <w:p w14:paraId="5A5EA426" w14:textId="407740AA" w:rsidR="00F72B77" w:rsidRDefault="00F72B77" w:rsidP="00045FED">
      <w:pPr>
        <w:jc w:val="both"/>
        <w:rPr>
          <w:b/>
        </w:rPr>
      </w:pPr>
    </w:p>
    <w:p w14:paraId="7BCC32F9" w14:textId="39F881B1" w:rsidR="00F72B77" w:rsidRDefault="003B6F4A" w:rsidP="00045FED">
      <w:pPr>
        <w:jc w:val="both"/>
        <w:rPr>
          <w:b/>
        </w:rPr>
      </w:pPr>
      <w:r>
        <w:rPr>
          <w:noProof/>
          <w:lang w:val="en-AU" w:eastAsia="en-AU"/>
        </w:rPr>
        <mc:AlternateContent>
          <mc:Choice Requires="wps">
            <w:drawing>
              <wp:anchor distT="0" distB="0" distL="114300" distR="114300" simplePos="0" relativeHeight="251669504" behindDoc="0" locked="0" layoutInCell="1" allowOverlap="1" wp14:anchorId="3A4D94BD" wp14:editId="0A80965B">
                <wp:simplePos x="0" y="0"/>
                <wp:positionH relativeFrom="column">
                  <wp:posOffset>2155190</wp:posOffset>
                </wp:positionH>
                <wp:positionV relativeFrom="paragraph">
                  <wp:posOffset>106680</wp:posOffset>
                </wp:positionV>
                <wp:extent cx="1087755" cy="51435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6BBF5" w14:textId="5DD28204"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0</w:t>
                            </w:r>
                            <w:r w:rsidRPr="001A7284">
                              <w:rPr>
                                <w:rFonts w:ascii="Arial" w:hAnsi="Arial" w:cs="Arial"/>
                                <w:sz w:val="18"/>
                                <w:szCs w:val="18"/>
                              </w:rPr>
                              <w:t xml:space="preserve"> = </w:t>
                            </w:r>
                            <w:r>
                              <w:rPr>
                                <w:rFonts w:ascii="Arial" w:hAnsi="Arial" w:cs="Arial"/>
                                <w:sz w:val="18"/>
                                <w:szCs w:val="18"/>
                              </w:rPr>
                              <w:t>12</w:t>
                            </w:r>
                            <w:r w:rsidR="000649F4">
                              <w:rPr>
                                <w:rFonts w:ascii="Arial" w:hAnsi="Arial" w:cs="Arial"/>
                                <w:sz w:val="18"/>
                                <w:szCs w:val="18"/>
                              </w:rPr>
                              <w:t>5</w:t>
                            </w:r>
                            <w:r w:rsidRPr="001A7284">
                              <w:rPr>
                                <w:rFonts w:ascii="Arial" w:hAnsi="Arial" w:cs="Arial"/>
                                <w:sz w:val="18"/>
                                <w:szCs w:val="18"/>
                              </w:rPr>
                              <w:t xml:space="preserve"> ± </w:t>
                            </w:r>
                            <w:r w:rsidR="000649F4">
                              <w:rPr>
                                <w:rFonts w:ascii="Arial" w:hAnsi="Arial" w:cs="Arial"/>
                                <w:sz w:val="18"/>
                                <w:szCs w:val="18"/>
                              </w:rPr>
                              <w:t>4</w:t>
                            </w:r>
                            <w:r w:rsidRPr="001A7284">
                              <w:rPr>
                                <w:rFonts w:ascii="Arial" w:hAnsi="Arial" w:cs="Arial"/>
                                <w:sz w:val="18"/>
                                <w:szCs w:val="18"/>
                              </w:rPr>
                              <w:t xml:space="preserve"> Gy</w:t>
                            </w:r>
                          </w:p>
                          <w:p w14:paraId="6945AB00" w14:textId="77777777" w:rsidR="00FA529D" w:rsidRPr="00DC316B" w:rsidRDefault="00FA529D" w:rsidP="00DC316B">
                            <w:pPr>
                              <w:rPr>
                                <w:rFonts w:ascii="Arial" w:hAnsi="Arial" w:cs="Arial"/>
                                <w:sz w:val="8"/>
                                <w:szCs w:val="8"/>
                              </w:rPr>
                            </w:pPr>
                          </w:p>
                          <w:p w14:paraId="30BE08BA" w14:textId="008A1B8D"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e</w:t>
                            </w:r>
                            <w:r w:rsidRPr="001A7284">
                              <w:rPr>
                                <w:rFonts w:ascii="Arial" w:hAnsi="Arial" w:cs="Arial"/>
                                <w:sz w:val="18"/>
                                <w:szCs w:val="18"/>
                              </w:rPr>
                              <w:t xml:space="preserve"> = </w:t>
                            </w:r>
                            <w:r w:rsidR="000649F4">
                              <w:rPr>
                                <w:rFonts w:ascii="Arial" w:hAnsi="Arial" w:cs="Arial"/>
                                <w:sz w:val="18"/>
                                <w:szCs w:val="18"/>
                              </w:rPr>
                              <w:t>295</w:t>
                            </w:r>
                            <w:r w:rsidRPr="001A7284">
                              <w:rPr>
                                <w:rFonts w:ascii="Arial" w:hAnsi="Arial" w:cs="Arial"/>
                                <w:sz w:val="18"/>
                                <w:szCs w:val="18"/>
                              </w:rPr>
                              <w:t xml:space="preserve"> ± </w:t>
                            </w:r>
                            <w:r w:rsidR="000649F4">
                              <w:rPr>
                                <w:rFonts w:ascii="Arial" w:hAnsi="Arial" w:cs="Arial"/>
                                <w:sz w:val="18"/>
                                <w:szCs w:val="18"/>
                              </w:rPr>
                              <w:t>37</w:t>
                            </w:r>
                            <w:r w:rsidRPr="001A7284">
                              <w:rPr>
                                <w:rFonts w:ascii="Arial" w:hAnsi="Arial" w:cs="Arial"/>
                                <w:sz w:val="18"/>
                                <w:szCs w:val="18"/>
                              </w:rPr>
                              <w:t xml:space="preserve"> 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D94BD" id="_x0000_s1032" type="#_x0000_t202" style="position:absolute;left:0;text-align:left;margin-left:169.7pt;margin-top:8.4pt;width:85.6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" filled="f" stroked="f">
                <v:textbox>
                  <w:txbxContent>
                    <w:p w14:paraId="7D66BBF5" w14:textId="5DD28204"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0</w:t>
                      </w:r>
                      <w:r w:rsidRPr="001A7284">
                        <w:rPr>
                          <w:rFonts w:ascii="Arial" w:hAnsi="Arial" w:cs="Arial"/>
                          <w:sz w:val="18"/>
                          <w:szCs w:val="18"/>
                        </w:rPr>
                        <w:t xml:space="preserve"> = </w:t>
                      </w:r>
                      <w:r>
                        <w:rPr>
                          <w:rFonts w:ascii="Arial" w:hAnsi="Arial" w:cs="Arial"/>
                          <w:sz w:val="18"/>
                          <w:szCs w:val="18"/>
                        </w:rPr>
                        <w:t>12</w:t>
                      </w:r>
                      <w:r w:rsidR="000649F4">
                        <w:rPr>
                          <w:rFonts w:ascii="Arial" w:hAnsi="Arial" w:cs="Arial"/>
                          <w:sz w:val="18"/>
                          <w:szCs w:val="18"/>
                        </w:rPr>
                        <w:t>5</w:t>
                      </w:r>
                      <w:r w:rsidRPr="001A7284">
                        <w:rPr>
                          <w:rFonts w:ascii="Arial" w:hAnsi="Arial" w:cs="Arial"/>
                          <w:sz w:val="18"/>
                          <w:szCs w:val="18"/>
                        </w:rPr>
                        <w:t xml:space="preserve"> ± </w:t>
                      </w:r>
                      <w:r w:rsidR="000649F4">
                        <w:rPr>
                          <w:rFonts w:ascii="Arial" w:hAnsi="Arial" w:cs="Arial"/>
                          <w:sz w:val="18"/>
                          <w:szCs w:val="18"/>
                        </w:rPr>
                        <w:t>4</w:t>
                      </w:r>
                      <w:r w:rsidRPr="001A7284">
                        <w:rPr>
                          <w:rFonts w:ascii="Arial" w:hAnsi="Arial" w:cs="Arial"/>
                          <w:sz w:val="18"/>
                          <w:szCs w:val="18"/>
                        </w:rPr>
                        <w:t xml:space="preserve"> Gy</w:t>
                      </w:r>
                    </w:p>
                    <w:p w14:paraId="6945AB00" w14:textId="77777777" w:rsidR="00FA529D" w:rsidRPr="00DC316B" w:rsidRDefault="00FA529D" w:rsidP="00DC316B">
                      <w:pPr>
                        <w:rPr>
                          <w:rFonts w:ascii="Arial" w:hAnsi="Arial" w:cs="Arial"/>
                          <w:sz w:val="8"/>
                          <w:szCs w:val="8"/>
                        </w:rPr>
                      </w:pPr>
                    </w:p>
                    <w:p w14:paraId="30BE08BA" w14:textId="008A1B8D"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e</w:t>
                      </w:r>
                      <w:r w:rsidRPr="001A7284">
                        <w:rPr>
                          <w:rFonts w:ascii="Arial" w:hAnsi="Arial" w:cs="Arial"/>
                          <w:sz w:val="18"/>
                          <w:szCs w:val="18"/>
                        </w:rPr>
                        <w:t xml:space="preserve"> = </w:t>
                      </w:r>
                      <w:r w:rsidR="000649F4">
                        <w:rPr>
                          <w:rFonts w:ascii="Arial" w:hAnsi="Arial" w:cs="Arial"/>
                          <w:sz w:val="18"/>
                          <w:szCs w:val="18"/>
                        </w:rPr>
                        <w:t>295</w:t>
                      </w:r>
                      <w:r w:rsidRPr="001A7284">
                        <w:rPr>
                          <w:rFonts w:ascii="Arial" w:hAnsi="Arial" w:cs="Arial"/>
                          <w:sz w:val="18"/>
                          <w:szCs w:val="18"/>
                        </w:rPr>
                        <w:t xml:space="preserve"> ± </w:t>
                      </w:r>
                      <w:r w:rsidR="000649F4">
                        <w:rPr>
                          <w:rFonts w:ascii="Arial" w:hAnsi="Arial" w:cs="Arial"/>
                          <w:sz w:val="18"/>
                          <w:szCs w:val="18"/>
                        </w:rPr>
                        <w:t>37</w:t>
                      </w:r>
                      <w:r w:rsidRPr="001A7284">
                        <w:rPr>
                          <w:rFonts w:ascii="Arial" w:hAnsi="Arial" w:cs="Arial"/>
                          <w:sz w:val="18"/>
                          <w:szCs w:val="18"/>
                        </w:rPr>
                        <w:t xml:space="preserve"> Gy</w:t>
                      </w:r>
                    </w:p>
                  </w:txbxContent>
                </v:textbox>
              </v:shape>
            </w:pict>
          </mc:Fallback>
        </mc:AlternateContent>
      </w:r>
      <w:r w:rsidR="005D669A">
        <w:rPr>
          <w:noProof/>
          <w:lang w:val="en-AU" w:eastAsia="en-AU"/>
        </w:rPr>
        <mc:AlternateContent>
          <mc:Choice Requires="wps">
            <w:drawing>
              <wp:anchor distT="0" distB="0" distL="114300" distR="114300" simplePos="0" relativeHeight="251660288" behindDoc="0" locked="0" layoutInCell="1" allowOverlap="1" wp14:anchorId="28F3D810" wp14:editId="53E3EE5D">
                <wp:simplePos x="0" y="0"/>
                <wp:positionH relativeFrom="column">
                  <wp:posOffset>5633720</wp:posOffset>
                </wp:positionH>
                <wp:positionV relativeFrom="paragraph">
                  <wp:posOffset>55245</wp:posOffset>
                </wp:positionV>
                <wp:extent cx="1072515" cy="5143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C5982" w14:textId="49A9ADD9"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0</w:t>
                            </w:r>
                            <w:r w:rsidRPr="001A7284">
                              <w:rPr>
                                <w:rFonts w:ascii="Arial" w:hAnsi="Arial" w:cs="Arial"/>
                                <w:sz w:val="18"/>
                                <w:szCs w:val="18"/>
                              </w:rPr>
                              <w:t xml:space="preserve"> = </w:t>
                            </w:r>
                            <w:r w:rsidR="003B6F4A">
                              <w:rPr>
                                <w:rFonts w:ascii="Arial" w:hAnsi="Arial" w:cs="Arial"/>
                                <w:sz w:val="18"/>
                                <w:szCs w:val="18"/>
                              </w:rPr>
                              <w:t>298</w:t>
                            </w:r>
                            <w:r w:rsidRPr="001A7284">
                              <w:rPr>
                                <w:rFonts w:ascii="Arial" w:hAnsi="Arial" w:cs="Arial"/>
                                <w:sz w:val="18"/>
                                <w:szCs w:val="18"/>
                              </w:rPr>
                              <w:t xml:space="preserve"> ± </w:t>
                            </w:r>
                            <w:r w:rsidR="003B6F4A">
                              <w:rPr>
                                <w:rFonts w:ascii="Arial" w:hAnsi="Arial" w:cs="Arial"/>
                                <w:sz w:val="18"/>
                                <w:szCs w:val="18"/>
                              </w:rPr>
                              <w:t>56</w:t>
                            </w:r>
                            <w:r w:rsidRPr="001A7284">
                              <w:rPr>
                                <w:rFonts w:ascii="Arial" w:hAnsi="Arial" w:cs="Arial"/>
                                <w:sz w:val="18"/>
                                <w:szCs w:val="18"/>
                              </w:rPr>
                              <w:t xml:space="preserve"> Gy</w:t>
                            </w:r>
                          </w:p>
                          <w:p w14:paraId="1CB27ACA" w14:textId="77777777" w:rsidR="00FA529D" w:rsidRPr="00DC316B" w:rsidRDefault="00FA529D" w:rsidP="00DC316B">
                            <w:pPr>
                              <w:rPr>
                                <w:rFonts w:ascii="Arial" w:hAnsi="Arial" w:cs="Arial"/>
                                <w:sz w:val="8"/>
                                <w:szCs w:val="8"/>
                              </w:rPr>
                            </w:pPr>
                          </w:p>
                          <w:p w14:paraId="061D5175" w14:textId="29FB8653"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e</w:t>
                            </w:r>
                            <w:r w:rsidRPr="001A7284">
                              <w:rPr>
                                <w:rFonts w:ascii="Arial" w:hAnsi="Arial" w:cs="Arial"/>
                                <w:sz w:val="18"/>
                                <w:szCs w:val="18"/>
                              </w:rPr>
                              <w:t xml:space="preserve"> = </w:t>
                            </w:r>
                            <w:r w:rsidR="003B6F4A">
                              <w:rPr>
                                <w:rFonts w:ascii="Arial" w:hAnsi="Arial" w:cs="Arial"/>
                                <w:sz w:val="18"/>
                                <w:szCs w:val="18"/>
                              </w:rPr>
                              <w:t>174</w:t>
                            </w:r>
                            <w:r w:rsidRPr="001A7284">
                              <w:rPr>
                                <w:rFonts w:ascii="Arial" w:hAnsi="Arial" w:cs="Arial"/>
                                <w:sz w:val="18"/>
                                <w:szCs w:val="18"/>
                              </w:rPr>
                              <w:t xml:space="preserve"> ± </w:t>
                            </w:r>
                            <w:r w:rsidR="003B6F4A">
                              <w:rPr>
                                <w:rFonts w:ascii="Arial" w:hAnsi="Arial" w:cs="Arial"/>
                                <w:sz w:val="18"/>
                                <w:szCs w:val="18"/>
                              </w:rPr>
                              <w:t>40</w:t>
                            </w:r>
                            <w:r w:rsidRPr="001A7284">
                              <w:rPr>
                                <w:rFonts w:ascii="Arial" w:hAnsi="Arial" w:cs="Arial"/>
                                <w:sz w:val="18"/>
                                <w:szCs w:val="18"/>
                              </w:rPr>
                              <w:t xml:space="preserve"> 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3D810" id="_x0000_s1033" type="#_x0000_t202" style="position:absolute;left:0;text-align:left;margin-left:443.6pt;margin-top:4.35pt;width:84.4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" filled="f" stroked="f">
                <v:textbox>
                  <w:txbxContent>
                    <w:p w14:paraId="096C5982" w14:textId="49A9ADD9"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0</w:t>
                      </w:r>
                      <w:r w:rsidRPr="001A7284">
                        <w:rPr>
                          <w:rFonts w:ascii="Arial" w:hAnsi="Arial" w:cs="Arial"/>
                          <w:sz w:val="18"/>
                          <w:szCs w:val="18"/>
                        </w:rPr>
                        <w:t xml:space="preserve"> = </w:t>
                      </w:r>
                      <w:r w:rsidR="003B6F4A">
                        <w:rPr>
                          <w:rFonts w:ascii="Arial" w:hAnsi="Arial" w:cs="Arial"/>
                          <w:sz w:val="18"/>
                          <w:szCs w:val="18"/>
                        </w:rPr>
                        <w:t>298</w:t>
                      </w:r>
                      <w:r w:rsidRPr="001A7284">
                        <w:rPr>
                          <w:rFonts w:ascii="Arial" w:hAnsi="Arial" w:cs="Arial"/>
                          <w:sz w:val="18"/>
                          <w:szCs w:val="18"/>
                        </w:rPr>
                        <w:t xml:space="preserve"> ± </w:t>
                      </w:r>
                      <w:r w:rsidR="003B6F4A">
                        <w:rPr>
                          <w:rFonts w:ascii="Arial" w:hAnsi="Arial" w:cs="Arial"/>
                          <w:sz w:val="18"/>
                          <w:szCs w:val="18"/>
                        </w:rPr>
                        <w:t>56</w:t>
                      </w:r>
                      <w:r w:rsidRPr="001A7284">
                        <w:rPr>
                          <w:rFonts w:ascii="Arial" w:hAnsi="Arial" w:cs="Arial"/>
                          <w:sz w:val="18"/>
                          <w:szCs w:val="18"/>
                        </w:rPr>
                        <w:t xml:space="preserve"> Gy</w:t>
                      </w:r>
                    </w:p>
                    <w:p w14:paraId="1CB27ACA" w14:textId="77777777" w:rsidR="00FA529D" w:rsidRPr="00DC316B" w:rsidRDefault="00FA529D" w:rsidP="00DC316B">
                      <w:pPr>
                        <w:rPr>
                          <w:rFonts w:ascii="Arial" w:hAnsi="Arial" w:cs="Arial"/>
                          <w:sz w:val="8"/>
                          <w:szCs w:val="8"/>
                        </w:rPr>
                      </w:pPr>
                    </w:p>
                    <w:p w14:paraId="061D5175" w14:textId="29FB8653" w:rsidR="00FA529D" w:rsidRPr="001A7284" w:rsidRDefault="00FA529D" w:rsidP="00DC316B">
                      <w:pPr>
                        <w:rPr>
                          <w:rFonts w:ascii="Arial" w:hAnsi="Arial" w:cs="Arial"/>
                          <w:sz w:val="18"/>
                          <w:szCs w:val="18"/>
                        </w:rPr>
                      </w:pPr>
                      <w:r w:rsidRPr="001A7284">
                        <w:rPr>
                          <w:rFonts w:ascii="Arial" w:hAnsi="Arial" w:cs="Arial"/>
                          <w:sz w:val="18"/>
                          <w:szCs w:val="18"/>
                        </w:rPr>
                        <w:t>D</w:t>
                      </w:r>
                      <w:r w:rsidRPr="001A7284">
                        <w:rPr>
                          <w:rFonts w:ascii="Arial" w:hAnsi="Arial" w:cs="Arial"/>
                          <w:sz w:val="18"/>
                          <w:szCs w:val="18"/>
                          <w:vertAlign w:val="subscript"/>
                        </w:rPr>
                        <w:t>e</w:t>
                      </w:r>
                      <w:r w:rsidRPr="001A7284">
                        <w:rPr>
                          <w:rFonts w:ascii="Arial" w:hAnsi="Arial" w:cs="Arial"/>
                          <w:sz w:val="18"/>
                          <w:szCs w:val="18"/>
                        </w:rPr>
                        <w:t xml:space="preserve"> = </w:t>
                      </w:r>
                      <w:r w:rsidR="003B6F4A">
                        <w:rPr>
                          <w:rFonts w:ascii="Arial" w:hAnsi="Arial" w:cs="Arial"/>
                          <w:sz w:val="18"/>
                          <w:szCs w:val="18"/>
                        </w:rPr>
                        <w:t>174</w:t>
                      </w:r>
                      <w:r w:rsidRPr="001A7284">
                        <w:rPr>
                          <w:rFonts w:ascii="Arial" w:hAnsi="Arial" w:cs="Arial"/>
                          <w:sz w:val="18"/>
                          <w:szCs w:val="18"/>
                        </w:rPr>
                        <w:t xml:space="preserve"> ± </w:t>
                      </w:r>
                      <w:r w:rsidR="003B6F4A">
                        <w:rPr>
                          <w:rFonts w:ascii="Arial" w:hAnsi="Arial" w:cs="Arial"/>
                          <w:sz w:val="18"/>
                          <w:szCs w:val="18"/>
                        </w:rPr>
                        <w:t>40</w:t>
                      </w:r>
                      <w:r w:rsidRPr="001A7284">
                        <w:rPr>
                          <w:rFonts w:ascii="Arial" w:hAnsi="Arial" w:cs="Arial"/>
                          <w:sz w:val="18"/>
                          <w:szCs w:val="18"/>
                        </w:rPr>
                        <w:t xml:space="preserve"> Gy</w:t>
                      </w:r>
                    </w:p>
                  </w:txbxContent>
                </v:textbox>
              </v:shape>
            </w:pict>
          </mc:Fallback>
        </mc:AlternateContent>
      </w:r>
    </w:p>
    <w:p w14:paraId="63CC6D3F" w14:textId="62C44E82" w:rsidR="00F72B77" w:rsidRDefault="00F72B77" w:rsidP="00045FED">
      <w:pPr>
        <w:jc w:val="both"/>
        <w:rPr>
          <w:b/>
        </w:rPr>
      </w:pPr>
    </w:p>
    <w:p w14:paraId="3487EE37" w14:textId="08CA260B" w:rsidR="00F72B77" w:rsidRDefault="00F72B77" w:rsidP="00045FED">
      <w:pPr>
        <w:jc w:val="both"/>
        <w:rPr>
          <w:b/>
        </w:rPr>
      </w:pPr>
    </w:p>
    <w:p w14:paraId="5DCA9623" w14:textId="574CC9ED" w:rsidR="00F72B77" w:rsidRDefault="00F72B77" w:rsidP="00045FED">
      <w:pPr>
        <w:jc w:val="both"/>
        <w:rPr>
          <w:b/>
        </w:rPr>
      </w:pPr>
    </w:p>
    <w:p w14:paraId="3FEE949B" w14:textId="1F3BD62A" w:rsidR="00F72B77" w:rsidRDefault="00F72B77" w:rsidP="00045FED">
      <w:pPr>
        <w:jc w:val="both"/>
        <w:rPr>
          <w:b/>
        </w:rPr>
      </w:pPr>
    </w:p>
    <w:p w14:paraId="3EC7DA9F" w14:textId="2A272C33" w:rsidR="00F72B77" w:rsidRDefault="00F72B77" w:rsidP="00045FED">
      <w:pPr>
        <w:jc w:val="both"/>
        <w:rPr>
          <w:b/>
        </w:rPr>
      </w:pPr>
    </w:p>
    <w:p w14:paraId="141AD736" w14:textId="05D48A8B" w:rsidR="00F72B77" w:rsidRDefault="00F72B77" w:rsidP="00045FED">
      <w:pPr>
        <w:jc w:val="both"/>
        <w:rPr>
          <w:b/>
        </w:rPr>
      </w:pPr>
    </w:p>
    <w:p w14:paraId="64BEF71A" w14:textId="00301102" w:rsidR="00F72B77" w:rsidRDefault="003B6F4A" w:rsidP="00045FED">
      <w:pPr>
        <w:jc w:val="both"/>
        <w:rPr>
          <w:b/>
        </w:rPr>
      </w:pPr>
      <w:r>
        <w:rPr>
          <w:b/>
          <w:noProof/>
          <w:lang w:val="en-AU" w:eastAsia="en-AU"/>
        </w:rPr>
        <mc:AlternateContent>
          <mc:Choice Requires="wps">
            <w:drawing>
              <wp:anchor distT="0" distB="0" distL="114300" distR="114300" simplePos="0" relativeHeight="251659264" behindDoc="0" locked="0" layoutInCell="1" allowOverlap="1" wp14:anchorId="2DB4B089" wp14:editId="0A32119A">
                <wp:simplePos x="0" y="0"/>
                <wp:positionH relativeFrom="column">
                  <wp:posOffset>6343015</wp:posOffset>
                </wp:positionH>
                <wp:positionV relativeFrom="paragraph">
                  <wp:posOffset>124460</wp:posOffset>
                </wp:positionV>
                <wp:extent cx="468630" cy="314325"/>
                <wp:effectExtent l="0" t="0" r="0" b="9525"/>
                <wp:wrapNone/>
                <wp:docPr id="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125FC" w14:textId="77777777" w:rsidR="00FA529D" w:rsidRDefault="00FA529D" w:rsidP="00DC4F0B">
                            <w:pPr>
                              <w:rPr>
                                <w:rFonts w:ascii="Arial" w:hAnsi="Arial"/>
                                <w:sz w:val="20"/>
                              </w:rPr>
                            </w:pPr>
                            <w:r>
                              <w:rPr>
                                <w:rFonts w:ascii="Arial" w:hAnsi="Arial"/>
                                <w:sz w:val="20"/>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4B089" id="Text Box 105" o:spid="_x0000_s1034" type="#_x0000_t202" style="position:absolute;left:0;text-align:left;margin-left:499.45pt;margin-top:9.8pt;width:36.9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" filled="f" stroked="f">
                <v:textbox>
                  <w:txbxContent>
                    <w:p w14:paraId="517125FC" w14:textId="77777777" w:rsidR="00FA529D" w:rsidRDefault="00FA529D" w:rsidP="00DC4F0B">
                      <w:pPr>
                        <w:rPr>
                          <w:rFonts w:ascii="Arial" w:hAnsi="Arial"/>
                          <w:sz w:val="20"/>
                        </w:rPr>
                      </w:pPr>
                      <w:r>
                        <w:rPr>
                          <w:rFonts w:ascii="Arial" w:hAnsi="Arial"/>
                          <w:sz w:val="20"/>
                        </w:rPr>
                        <w:t>(d)</w:t>
                      </w:r>
                    </w:p>
                  </w:txbxContent>
                </v:textbox>
              </v:shape>
            </w:pict>
          </mc:Fallback>
        </mc:AlternateContent>
      </w:r>
      <w:r w:rsidR="004B17F8">
        <w:rPr>
          <w:b/>
          <w:noProof/>
          <w:lang w:val="en-AU" w:eastAsia="en-AU"/>
        </w:rPr>
        <mc:AlternateContent>
          <mc:Choice Requires="wps">
            <w:drawing>
              <wp:anchor distT="0" distB="0" distL="114300" distR="114300" simplePos="0" relativeHeight="251655168" behindDoc="0" locked="0" layoutInCell="1" allowOverlap="1" wp14:anchorId="07E53FA1" wp14:editId="4F0939A4">
                <wp:simplePos x="0" y="0"/>
                <wp:positionH relativeFrom="column">
                  <wp:posOffset>2900045</wp:posOffset>
                </wp:positionH>
                <wp:positionV relativeFrom="paragraph">
                  <wp:posOffset>148590</wp:posOffset>
                </wp:positionV>
                <wp:extent cx="335280" cy="314325"/>
                <wp:effectExtent l="0" t="0" r="0" b="9525"/>
                <wp:wrapNone/>
                <wp:docPr id="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6F8C8" w14:textId="77777777" w:rsidR="00FA529D" w:rsidRDefault="00FA529D" w:rsidP="00DC4F0B">
                            <w:pPr>
                              <w:rPr>
                                <w:rFonts w:ascii="Arial" w:hAnsi="Arial"/>
                                <w:sz w:val="20"/>
                              </w:rPr>
                            </w:pPr>
                            <w:r>
                              <w:rPr>
                                <w:rFonts w:ascii="Arial" w:hAnsi="Arial"/>
                                <w:sz w:val="20"/>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53FA1" id="Text Box 85" o:spid="_x0000_s1035" type="#_x0000_t202" style="position:absolute;left:0;text-align:left;margin-left:228.35pt;margin-top:11.7pt;width:26.4pt;height:2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" filled="f" stroked="f">
                <v:textbox>
                  <w:txbxContent>
                    <w:p w14:paraId="1826F8C8" w14:textId="77777777" w:rsidR="00FA529D" w:rsidRDefault="00FA529D" w:rsidP="00DC4F0B">
                      <w:pPr>
                        <w:rPr>
                          <w:rFonts w:ascii="Arial" w:hAnsi="Arial"/>
                          <w:sz w:val="20"/>
                        </w:rPr>
                      </w:pPr>
                      <w:r>
                        <w:rPr>
                          <w:rFonts w:ascii="Arial" w:hAnsi="Arial"/>
                          <w:sz w:val="20"/>
                        </w:rPr>
                        <w:t>(c)</w:t>
                      </w:r>
                    </w:p>
                  </w:txbxContent>
                </v:textbox>
              </v:shape>
            </w:pict>
          </mc:Fallback>
        </mc:AlternateContent>
      </w:r>
    </w:p>
    <w:p w14:paraId="0D1A7B09" w14:textId="2682108A" w:rsidR="00F72B77" w:rsidRDefault="00F72B77" w:rsidP="00045FED">
      <w:pPr>
        <w:jc w:val="both"/>
        <w:rPr>
          <w:b/>
        </w:rPr>
      </w:pPr>
    </w:p>
    <w:p w14:paraId="4BEED2E6" w14:textId="5E5F8F7C" w:rsidR="00F72B77" w:rsidRDefault="00F72B77" w:rsidP="00045FED">
      <w:pPr>
        <w:jc w:val="both"/>
        <w:rPr>
          <w:b/>
        </w:rPr>
      </w:pPr>
    </w:p>
    <w:p w14:paraId="241D9819" w14:textId="488C4F4F" w:rsidR="00F72B77" w:rsidRDefault="00F72B77" w:rsidP="00045FED">
      <w:pPr>
        <w:jc w:val="both"/>
        <w:rPr>
          <w:b/>
        </w:rPr>
      </w:pPr>
    </w:p>
    <w:p w14:paraId="1E60C90E" w14:textId="77777777" w:rsidR="00F72B77" w:rsidRDefault="00F72B77" w:rsidP="00045FED">
      <w:pPr>
        <w:jc w:val="both"/>
        <w:rPr>
          <w:b/>
        </w:rPr>
      </w:pPr>
    </w:p>
    <w:p w14:paraId="6BA57EE0" w14:textId="7B433382" w:rsidR="004B17F8" w:rsidRDefault="004B17F8" w:rsidP="00045FED">
      <w:pPr>
        <w:jc w:val="both"/>
        <w:rPr>
          <w:b/>
        </w:rPr>
      </w:pPr>
    </w:p>
    <w:p w14:paraId="020DECFD" w14:textId="287DF716" w:rsidR="00DC4F0B" w:rsidRDefault="00F72B77" w:rsidP="00045FED">
      <w:pPr>
        <w:jc w:val="both"/>
      </w:pPr>
      <w:r w:rsidRPr="00F72B77">
        <w:rPr>
          <w:b/>
        </w:rPr>
        <w:t xml:space="preserve">Figure </w:t>
      </w:r>
      <w:r w:rsidR="00722181">
        <w:rPr>
          <w:b/>
        </w:rPr>
        <w:t>S</w:t>
      </w:r>
      <w:r w:rsidRPr="00F72B77">
        <w:rPr>
          <w:b/>
        </w:rPr>
        <w:t>2</w:t>
      </w:r>
      <w:r>
        <w:t xml:space="preserve"> </w:t>
      </w:r>
      <w:r w:rsidR="00722181" w:rsidRPr="00722181">
        <w:rPr>
          <w:lang w:val="en-AU"/>
        </w:rPr>
        <w:t xml:space="preserve">Representative single-grain OSL decay and dose-response curves for quartz grains from sample </w:t>
      </w:r>
      <w:r w:rsidR="00DD58A3">
        <w:rPr>
          <w:lang w:val="en-AU"/>
        </w:rPr>
        <w:t>LM17188-05</w:t>
      </w:r>
      <w:r w:rsidR="00722181" w:rsidRPr="00722181">
        <w:rPr>
          <w:lang w:val="en-AU"/>
        </w:rPr>
        <w:t xml:space="preserve">. The decay curve of a </w:t>
      </w:r>
      <w:proofErr w:type="gramStart"/>
      <w:r w:rsidR="00722181" w:rsidRPr="00722181">
        <w:rPr>
          <w:lang w:val="en-AU"/>
        </w:rPr>
        <w:t>fast-component</w:t>
      </w:r>
      <w:proofErr w:type="gramEnd"/>
      <w:r w:rsidR="00722181" w:rsidRPr="00722181">
        <w:rPr>
          <w:lang w:val="en-AU"/>
        </w:rPr>
        <w:t xml:space="preserve"> dominated calibration quartz grain is shown for comparison (</w:t>
      </w:r>
      <w:proofErr w:type="spellStart"/>
      <w:r w:rsidR="00722181" w:rsidRPr="00722181">
        <w:rPr>
          <w:lang w:val="en-AU"/>
        </w:rPr>
        <w:t>Risø</w:t>
      </w:r>
      <w:proofErr w:type="spellEnd"/>
      <w:r w:rsidR="00722181" w:rsidRPr="00722181">
        <w:rPr>
          <w:lang w:val="en-AU"/>
        </w:rPr>
        <w:t xml:space="preserve"> calibration quartz standard from </w:t>
      </w:r>
      <w:proofErr w:type="spellStart"/>
      <w:r w:rsidR="00722181" w:rsidRPr="00722181">
        <w:rPr>
          <w:lang w:val="en-AU"/>
        </w:rPr>
        <w:t>Rømø</w:t>
      </w:r>
      <w:proofErr w:type="spellEnd"/>
      <w:r w:rsidR="00722181" w:rsidRPr="00722181">
        <w:rPr>
          <w:lang w:val="en-AU"/>
        </w:rPr>
        <w:t xml:space="preserve">, batch #98; Hansen et al., 2015). In the insets, the open circle denotes the sensitivity-corrected natural OSL signal, and filled circles denote the sensitivity-corrected regenerated OSL signals. The </w:t>
      </w:r>
      <w:r w:rsidR="00722181" w:rsidRPr="00722181">
        <w:rPr>
          <w:iCs/>
          <w:lang w:val="en-AU"/>
        </w:rPr>
        <w:t>D</w:t>
      </w:r>
      <w:r w:rsidR="00722181" w:rsidRPr="00722181">
        <w:rPr>
          <w:vertAlign w:val="subscript"/>
          <w:lang w:val="en-AU"/>
        </w:rPr>
        <w:t>0</w:t>
      </w:r>
      <w:r w:rsidR="00722181" w:rsidRPr="00722181">
        <w:rPr>
          <w:lang w:val="en-AU"/>
        </w:rPr>
        <w:t xml:space="preserve"> value characterises the rate of signal saturation with respect to administered dose and equates to the dose value for which the saturating exponential dose-response curve slope is 1/</w:t>
      </w:r>
      <w:r w:rsidR="00722181" w:rsidRPr="00722181">
        <w:rPr>
          <w:i/>
          <w:iCs/>
          <w:lang w:val="en-AU"/>
        </w:rPr>
        <w:t xml:space="preserve">e </w:t>
      </w:r>
      <w:r w:rsidR="00722181" w:rsidRPr="00722181">
        <w:rPr>
          <w:lang w:val="en-AU"/>
        </w:rPr>
        <w:t xml:space="preserve">(or ~ 0.37) of its initial value. (a) grain with </w:t>
      </w:r>
      <w:r w:rsidR="000253E7">
        <w:rPr>
          <w:lang w:val="en-AU"/>
        </w:rPr>
        <w:t>moderate</w:t>
      </w:r>
      <w:r w:rsidR="00722181" w:rsidRPr="00722181">
        <w:rPr>
          <w:lang w:val="en-AU"/>
        </w:rPr>
        <w:t xml:space="preserve"> OSL signal brightness (T</w:t>
      </w:r>
      <w:r w:rsidR="00722181" w:rsidRPr="00722181">
        <w:rPr>
          <w:vertAlign w:val="subscript"/>
          <w:lang w:val="en-AU"/>
        </w:rPr>
        <w:t>n</w:t>
      </w:r>
      <w:r w:rsidR="00722181" w:rsidRPr="00722181">
        <w:rPr>
          <w:lang w:val="en-AU"/>
        </w:rPr>
        <w:t xml:space="preserve"> intensity = </w:t>
      </w:r>
      <w:r w:rsidR="00722181">
        <w:rPr>
          <w:lang w:val="en-AU"/>
        </w:rPr>
        <w:t>100</w:t>
      </w:r>
      <w:r w:rsidR="00722181" w:rsidRPr="00722181">
        <w:rPr>
          <w:lang w:val="en-AU"/>
        </w:rPr>
        <w:t>–1,000 counts / 0.</w:t>
      </w:r>
      <w:r w:rsidR="00DD58A3">
        <w:rPr>
          <w:lang w:val="en-AU"/>
        </w:rPr>
        <w:t>17</w:t>
      </w:r>
      <w:r w:rsidR="00FF1032">
        <w:rPr>
          <w:lang w:val="en-AU"/>
        </w:rPr>
        <w:t xml:space="preserve"> s)</w:t>
      </w:r>
      <w:r w:rsidR="00722181" w:rsidRPr="00722181">
        <w:rPr>
          <w:lang w:val="en-AU"/>
        </w:rPr>
        <w:t>. (b) grain with bright OSL signal (T</w:t>
      </w:r>
      <w:r w:rsidR="00722181" w:rsidRPr="00722181">
        <w:rPr>
          <w:vertAlign w:val="subscript"/>
          <w:lang w:val="en-AU"/>
        </w:rPr>
        <w:t>n</w:t>
      </w:r>
      <w:r w:rsidR="00722181" w:rsidRPr="00722181">
        <w:rPr>
          <w:lang w:val="en-AU"/>
        </w:rPr>
        <w:t xml:space="preserve"> intensity = ~1,000–</w:t>
      </w:r>
      <w:r w:rsidR="00591AFC">
        <w:rPr>
          <w:lang w:val="en-AU"/>
        </w:rPr>
        <w:t>5</w:t>
      </w:r>
      <w:r w:rsidR="00722181" w:rsidRPr="00722181">
        <w:rPr>
          <w:lang w:val="en-AU"/>
        </w:rPr>
        <w:t>,000 counts / 0.</w:t>
      </w:r>
      <w:r w:rsidR="00DD58A3">
        <w:rPr>
          <w:lang w:val="en-AU"/>
        </w:rPr>
        <w:t>17</w:t>
      </w:r>
      <w:r w:rsidR="00722181" w:rsidRPr="00722181">
        <w:rPr>
          <w:lang w:val="en-AU"/>
        </w:rPr>
        <w:t xml:space="preserve"> s). (c) grain with </w:t>
      </w:r>
      <w:r w:rsidR="00DC4F0B">
        <w:rPr>
          <w:lang w:val="en-AU"/>
        </w:rPr>
        <w:t>very bright</w:t>
      </w:r>
      <w:r w:rsidR="00722181" w:rsidRPr="00722181">
        <w:rPr>
          <w:lang w:val="en-AU"/>
        </w:rPr>
        <w:t xml:space="preserve"> OSL signal (T</w:t>
      </w:r>
      <w:r w:rsidR="00722181" w:rsidRPr="00722181">
        <w:rPr>
          <w:vertAlign w:val="subscript"/>
          <w:lang w:val="en-AU"/>
        </w:rPr>
        <w:t>n</w:t>
      </w:r>
      <w:r w:rsidR="00722181" w:rsidRPr="00722181">
        <w:rPr>
          <w:lang w:val="en-AU"/>
        </w:rPr>
        <w:t xml:space="preserve"> intensity = </w:t>
      </w:r>
      <w:r w:rsidR="00DC4F0B">
        <w:rPr>
          <w:lang w:val="en-AU"/>
        </w:rPr>
        <w:t>&gt;</w:t>
      </w:r>
      <w:r w:rsidR="00591AFC">
        <w:rPr>
          <w:lang w:val="en-AU"/>
        </w:rPr>
        <w:t>5</w:t>
      </w:r>
      <w:r w:rsidR="00722181" w:rsidRPr="00722181">
        <w:rPr>
          <w:lang w:val="en-AU"/>
        </w:rPr>
        <w:t>,000 counts / 0.</w:t>
      </w:r>
      <w:r w:rsidR="00DD58A3">
        <w:rPr>
          <w:lang w:val="en-AU"/>
        </w:rPr>
        <w:t>17</w:t>
      </w:r>
      <w:r w:rsidR="00722181" w:rsidRPr="00722181">
        <w:rPr>
          <w:lang w:val="en-AU"/>
        </w:rPr>
        <w:t xml:space="preserve"> s). (d) grain with relatively dim OSL signal (T</w:t>
      </w:r>
      <w:r w:rsidR="00722181" w:rsidRPr="00722181">
        <w:rPr>
          <w:vertAlign w:val="subscript"/>
          <w:lang w:val="en-AU"/>
        </w:rPr>
        <w:t>n</w:t>
      </w:r>
      <w:r w:rsidR="00722181" w:rsidRPr="00722181">
        <w:rPr>
          <w:lang w:val="en-AU"/>
        </w:rPr>
        <w:t xml:space="preserve"> intensity = &lt;</w:t>
      </w:r>
      <w:r w:rsidR="00DC4F0B">
        <w:rPr>
          <w:lang w:val="en-AU"/>
        </w:rPr>
        <w:t>100</w:t>
      </w:r>
      <w:r w:rsidR="00722181" w:rsidRPr="00722181">
        <w:rPr>
          <w:lang w:val="en-AU"/>
        </w:rPr>
        <w:t xml:space="preserve"> counts / 0.</w:t>
      </w:r>
      <w:r w:rsidR="00DD58A3">
        <w:rPr>
          <w:lang w:val="en-AU"/>
        </w:rPr>
        <w:t>17</w:t>
      </w:r>
      <w:r w:rsidR="00722181" w:rsidRPr="00722181">
        <w:rPr>
          <w:lang w:val="en-AU"/>
        </w:rPr>
        <w:t xml:space="preserve"> s).</w:t>
      </w:r>
    </w:p>
    <w:p w14:paraId="6B4963A6" w14:textId="04EC8FB3" w:rsidR="008A595C" w:rsidRDefault="008A595C" w:rsidP="00D97C75">
      <w:pPr>
        <w:jc w:val="both"/>
      </w:pPr>
    </w:p>
    <w:sectPr w:rsidR="008A595C" w:rsidSect="005005FB">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3187" w14:textId="77777777" w:rsidR="008D3E52" w:rsidRDefault="008D3E52">
      <w:r>
        <w:separator/>
      </w:r>
    </w:p>
  </w:endnote>
  <w:endnote w:type="continuationSeparator" w:id="0">
    <w:p w14:paraId="469A9D83" w14:textId="77777777" w:rsidR="008D3E52" w:rsidRDefault="008D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harisSIL">
    <w:altName w:val="MS Gothic"/>
    <w:panose1 w:val="00000000000000000000"/>
    <w:charset w:val="81"/>
    <w:family w:val="swiss"/>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F84E" w14:textId="77777777" w:rsidR="00FA529D" w:rsidRDefault="00FA529D" w:rsidP="00873F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52A7DE" w14:textId="77777777" w:rsidR="00FA529D" w:rsidRDefault="00FA5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8B0D" w14:textId="008DC3B4" w:rsidR="00FA529D" w:rsidRDefault="00FA529D" w:rsidP="00873F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6A2E">
      <w:rPr>
        <w:rStyle w:val="PageNumber"/>
        <w:noProof/>
      </w:rPr>
      <w:t>8</w:t>
    </w:r>
    <w:r>
      <w:rPr>
        <w:rStyle w:val="PageNumber"/>
      </w:rPr>
      <w:fldChar w:fldCharType="end"/>
    </w:r>
  </w:p>
  <w:p w14:paraId="14421DA2" w14:textId="77777777" w:rsidR="00FA529D" w:rsidRDefault="00FA5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A1F6" w14:textId="77777777" w:rsidR="00FA529D" w:rsidRDefault="00FA529D" w:rsidP="00873F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875291E" w14:textId="77777777" w:rsidR="00FA529D" w:rsidRDefault="00FA52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73AB" w14:textId="13EE8115" w:rsidR="00FA529D" w:rsidRDefault="00FA529D" w:rsidP="00873F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6A2E">
      <w:rPr>
        <w:rStyle w:val="PageNumber"/>
        <w:noProof/>
      </w:rPr>
      <w:t>12</w:t>
    </w:r>
    <w:r>
      <w:rPr>
        <w:rStyle w:val="PageNumber"/>
      </w:rPr>
      <w:fldChar w:fldCharType="end"/>
    </w:r>
  </w:p>
  <w:p w14:paraId="4CD14AA0" w14:textId="77777777" w:rsidR="00FA529D" w:rsidRDefault="00FA5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E67AB" w14:textId="77777777" w:rsidR="008D3E52" w:rsidRDefault="008D3E52">
      <w:r>
        <w:separator/>
      </w:r>
    </w:p>
  </w:footnote>
  <w:footnote w:type="continuationSeparator" w:id="0">
    <w:p w14:paraId="0803A206" w14:textId="77777777" w:rsidR="008D3E52" w:rsidRDefault="008D3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61"/>
    <w:rsid w:val="00002608"/>
    <w:rsid w:val="00015772"/>
    <w:rsid w:val="000161AE"/>
    <w:rsid w:val="00023C56"/>
    <w:rsid w:val="000240BA"/>
    <w:rsid w:val="000253E7"/>
    <w:rsid w:val="00032D24"/>
    <w:rsid w:val="00033178"/>
    <w:rsid w:val="00033BBD"/>
    <w:rsid w:val="0004130F"/>
    <w:rsid w:val="00045FED"/>
    <w:rsid w:val="00047859"/>
    <w:rsid w:val="00051296"/>
    <w:rsid w:val="00054A16"/>
    <w:rsid w:val="00061E6F"/>
    <w:rsid w:val="000649F4"/>
    <w:rsid w:val="00067779"/>
    <w:rsid w:val="0007163B"/>
    <w:rsid w:val="00071761"/>
    <w:rsid w:val="000765ED"/>
    <w:rsid w:val="0008571E"/>
    <w:rsid w:val="0008684E"/>
    <w:rsid w:val="00087F16"/>
    <w:rsid w:val="00090F90"/>
    <w:rsid w:val="00091D9C"/>
    <w:rsid w:val="000A5970"/>
    <w:rsid w:val="000B56BF"/>
    <w:rsid w:val="000B5FA1"/>
    <w:rsid w:val="000B7806"/>
    <w:rsid w:val="000C0EEF"/>
    <w:rsid w:val="000C56E5"/>
    <w:rsid w:val="000C5A23"/>
    <w:rsid w:val="000C5B87"/>
    <w:rsid w:val="000C7E81"/>
    <w:rsid w:val="000D5D18"/>
    <w:rsid w:val="000D5D3C"/>
    <w:rsid w:val="000E3534"/>
    <w:rsid w:val="000E5453"/>
    <w:rsid w:val="000E7940"/>
    <w:rsid w:val="000F1162"/>
    <w:rsid w:val="000F4FBA"/>
    <w:rsid w:val="001021F9"/>
    <w:rsid w:val="001132D2"/>
    <w:rsid w:val="00117FDF"/>
    <w:rsid w:val="00122433"/>
    <w:rsid w:val="00126F99"/>
    <w:rsid w:val="001372E9"/>
    <w:rsid w:val="001378A9"/>
    <w:rsid w:val="00140609"/>
    <w:rsid w:val="00141471"/>
    <w:rsid w:val="00147BB5"/>
    <w:rsid w:val="00150D39"/>
    <w:rsid w:val="0015729C"/>
    <w:rsid w:val="00161232"/>
    <w:rsid w:val="0018080D"/>
    <w:rsid w:val="001941CF"/>
    <w:rsid w:val="001A297A"/>
    <w:rsid w:val="001A357B"/>
    <w:rsid w:val="001A3787"/>
    <w:rsid w:val="001A7284"/>
    <w:rsid w:val="001C2DFF"/>
    <w:rsid w:val="001C43DE"/>
    <w:rsid w:val="001C4517"/>
    <w:rsid w:val="001D62D2"/>
    <w:rsid w:val="001E2FB3"/>
    <w:rsid w:val="001E305D"/>
    <w:rsid w:val="001F62A6"/>
    <w:rsid w:val="0020107C"/>
    <w:rsid w:val="00203D49"/>
    <w:rsid w:val="00204B94"/>
    <w:rsid w:val="00205224"/>
    <w:rsid w:val="00210B78"/>
    <w:rsid w:val="00212E31"/>
    <w:rsid w:val="00216D30"/>
    <w:rsid w:val="00220354"/>
    <w:rsid w:val="00224F35"/>
    <w:rsid w:val="00233851"/>
    <w:rsid w:val="002347B2"/>
    <w:rsid w:val="00234CF2"/>
    <w:rsid w:val="002403DE"/>
    <w:rsid w:val="00244AF5"/>
    <w:rsid w:val="00245C8C"/>
    <w:rsid w:val="00261E04"/>
    <w:rsid w:val="0027051B"/>
    <w:rsid w:val="00272A6D"/>
    <w:rsid w:val="00280372"/>
    <w:rsid w:val="002857D4"/>
    <w:rsid w:val="00290971"/>
    <w:rsid w:val="00291DBD"/>
    <w:rsid w:val="002A19B9"/>
    <w:rsid w:val="002A1E78"/>
    <w:rsid w:val="002A2515"/>
    <w:rsid w:val="002B0928"/>
    <w:rsid w:val="002C2ED8"/>
    <w:rsid w:val="002C4667"/>
    <w:rsid w:val="002D2393"/>
    <w:rsid w:val="002D4545"/>
    <w:rsid w:val="002D4A71"/>
    <w:rsid w:val="002D4F70"/>
    <w:rsid w:val="002D60D2"/>
    <w:rsid w:val="002E31CE"/>
    <w:rsid w:val="002E421A"/>
    <w:rsid w:val="002E7973"/>
    <w:rsid w:val="002F2E06"/>
    <w:rsid w:val="002F4B62"/>
    <w:rsid w:val="002F55EA"/>
    <w:rsid w:val="002F5F12"/>
    <w:rsid w:val="002F6C65"/>
    <w:rsid w:val="003000C9"/>
    <w:rsid w:val="00303791"/>
    <w:rsid w:val="00304EAE"/>
    <w:rsid w:val="0031186C"/>
    <w:rsid w:val="00312041"/>
    <w:rsid w:val="0031738A"/>
    <w:rsid w:val="003175DB"/>
    <w:rsid w:val="00320D2F"/>
    <w:rsid w:val="0032706A"/>
    <w:rsid w:val="00333DF8"/>
    <w:rsid w:val="00350CA8"/>
    <w:rsid w:val="00362801"/>
    <w:rsid w:val="003667F5"/>
    <w:rsid w:val="003720A7"/>
    <w:rsid w:val="003746D1"/>
    <w:rsid w:val="00377037"/>
    <w:rsid w:val="00390B45"/>
    <w:rsid w:val="00395BFB"/>
    <w:rsid w:val="003B3474"/>
    <w:rsid w:val="003B6F4A"/>
    <w:rsid w:val="003C278D"/>
    <w:rsid w:val="003C7C78"/>
    <w:rsid w:val="003D51B4"/>
    <w:rsid w:val="003D527E"/>
    <w:rsid w:val="003D6D0F"/>
    <w:rsid w:val="003E596E"/>
    <w:rsid w:val="00402199"/>
    <w:rsid w:val="004071C4"/>
    <w:rsid w:val="00407EC3"/>
    <w:rsid w:val="004128C9"/>
    <w:rsid w:val="004156D0"/>
    <w:rsid w:val="004158B3"/>
    <w:rsid w:val="004209B9"/>
    <w:rsid w:val="00421EC3"/>
    <w:rsid w:val="0042237C"/>
    <w:rsid w:val="00423D6C"/>
    <w:rsid w:val="0042455E"/>
    <w:rsid w:val="004251B3"/>
    <w:rsid w:val="0043016A"/>
    <w:rsid w:val="00433875"/>
    <w:rsid w:val="00436AB8"/>
    <w:rsid w:val="00455280"/>
    <w:rsid w:val="00462573"/>
    <w:rsid w:val="00464B67"/>
    <w:rsid w:val="00466F69"/>
    <w:rsid w:val="004867F7"/>
    <w:rsid w:val="00487B57"/>
    <w:rsid w:val="00491890"/>
    <w:rsid w:val="004931E2"/>
    <w:rsid w:val="0049650E"/>
    <w:rsid w:val="004A066F"/>
    <w:rsid w:val="004A2451"/>
    <w:rsid w:val="004A709E"/>
    <w:rsid w:val="004A717A"/>
    <w:rsid w:val="004B028B"/>
    <w:rsid w:val="004B13F9"/>
    <w:rsid w:val="004B17F8"/>
    <w:rsid w:val="004B5A17"/>
    <w:rsid w:val="004D57DF"/>
    <w:rsid w:val="004E0D19"/>
    <w:rsid w:val="004E32A4"/>
    <w:rsid w:val="004E4667"/>
    <w:rsid w:val="004E6815"/>
    <w:rsid w:val="004F17E7"/>
    <w:rsid w:val="004F1D0E"/>
    <w:rsid w:val="004F687F"/>
    <w:rsid w:val="005005FB"/>
    <w:rsid w:val="0050157C"/>
    <w:rsid w:val="005036B6"/>
    <w:rsid w:val="00507DC2"/>
    <w:rsid w:val="00510D79"/>
    <w:rsid w:val="00511554"/>
    <w:rsid w:val="00524D7F"/>
    <w:rsid w:val="00527FE9"/>
    <w:rsid w:val="005369C4"/>
    <w:rsid w:val="00545154"/>
    <w:rsid w:val="00551433"/>
    <w:rsid w:val="00566A2E"/>
    <w:rsid w:val="005710E3"/>
    <w:rsid w:val="0057738E"/>
    <w:rsid w:val="00577CF4"/>
    <w:rsid w:val="00584B62"/>
    <w:rsid w:val="005853D0"/>
    <w:rsid w:val="00587371"/>
    <w:rsid w:val="00591AFC"/>
    <w:rsid w:val="005A0242"/>
    <w:rsid w:val="005A1048"/>
    <w:rsid w:val="005A1270"/>
    <w:rsid w:val="005A1B36"/>
    <w:rsid w:val="005A2F1C"/>
    <w:rsid w:val="005B064D"/>
    <w:rsid w:val="005B67AE"/>
    <w:rsid w:val="005C03CC"/>
    <w:rsid w:val="005C619C"/>
    <w:rsid w:val="005C6908"/>
    <w:rsid w:val="005D1B69"/>
    <w:rsid w:val="005D488E"/>
    <w:rsid w:val="005D4CB4"/>
    <w:rsid w:val="005D669A"/>
    <w:rsid w:val="005D7633"/>
    <w:rsid w:val="005E0FC1"/>
    <w:rsid w:val="005E66DF"/>
    <w:rsid w:val="005F2282"/>
    <w:rsid w:val="005F2476"/>
    <w:rsid w:val="005F4D55"/>
    <w:rsid w:val="005F561C"/>
    <w:rsid w:val="005F5D21"/>
    <w:rsid w:val="005F719F"/>
    <w:rsid w:val="005F7831"/>
    <w:rsid w:val="006001FB"/>
    <w:rsid w:val="00613E32"/>
    <w:rsid w:val="0061416F"/>
    <w:rsid w:val="0062444D"/>
    <w:rsid w:val="006259F9"/>
    <w:rsid w:val="0063421C"/>
    <w:rsid w:val="00636877"/>
    <w:rsid w:val="0063782E"/>
    <w:rsid w:val="0064179B"/>
    <w:rsid w:val="0065097E"/>
    <w:rsid w:val="00650C5F"/>
    <w:rsid w:val="006539D5"/>
    <w:rsid w:val="00654069"/>
    <w:rsid w:val="00660733"/>
    <w:rsid w:val="006647AD"/>
    <w:rsid w:val="006678EF"/>
    <w:rsid w:val="0067127C"/>
    <w:rsid w:val="00671ADA"/>
    <w:rsid w:val="006735D5"/>
    <w:rsid w:val="00687962"/>
    <w:rsid w:val="006932B1"/>
    <w:rsid w:val="0069494C"/>
    <w:rsid w:val="00697CB2"/>
    <w:rsid w:val="006A3F3B"/>
    <w:rsid w:val="006A400A"/>
    <w:rsid w:val="006A4084"/>
    <w:rsid w:val="006A53CF"/>
    <w:rsid w:val="006B1FE8"/>
    <w:rsid w:val="006B3C58"/>
    <w:rsid w:val="006B79EA"/>
    <w:rsid w:val="006B7FA9"/>
    <w:rsid w:val="006C5F75"/>
    <w:rsid w:val="006C7F79"/>
    <w:rsid w:val="006D4944"/>
    <w:rsid w:val="006E731F"/>
    <w:rsid w:val="006F62C3"/>
    <w:rsid w:val="006F6821"/>
    <w:rsid w:val="00701D7C"/>
    <w:rsid w:val="007026C8"/>
    <w:rsid w:val="00704A94"/>
    <w:rsid w:val="00710217"/>
    <w:rsid w:val="007139E5"/>
    <w:rsid w:val="00722181"/>
    <w:rsid w:val="00722F32"/>
    <w:rsid w:val="00732BD4"/>
    <w:rsid w:val="0074023F"/>
    <w:rsid w:val="007474AD"/>
    <w:rsid w:val="00747A44"/>
    <w:rsid w:val="007613B5"/>
    <w:rsid w:val="0076741C"/>
    <w:rsid w:val="007752C4"/>
    <w:rsid w:val="00782378"/>
    <w:rsid w:val="007853CA"/>
    <w:rsid w:val="00787CA8"/>
    <w:rsid w:val="00791D83"/>
    <w:rsid w:val="00794370"/>
    <w:rsid w:val="00794E4C"/>
    <w:rsid w:val="007A08BD"/>
    <w:rsid w:val="007A144E"/>
    <w:rsid w:val="007A3611"/>
    <w:rsid w:val="007A6536"/>
    <w:rsid w:val="007B2D12"/>
    <w:rsid w:val="007B5927"/>
    <w:rsid w:val="007C23FE"/>
    <w:rsid w:val="007C249F"/>
    <w:rsid w:val="007C2D9A"/>
    <w:rsid w:val="007D5BB4"/>
    <w:rsid w:val="007E4CD5"/>
    <w:rsid w:val="007E554C"/>
    <w:rsid w:val="007E6406"/>
    <w:rsid w:val="007F0425"/>
    <w:rsid w:val="007F42FB"/>
    <w:rsid w:val="007F6894"/>
    <w:rsid w:val="00800C32"/>
    <w:rsid w:val="008051E6"/>
    <w:rsid w:val="00806AA9"/>
    <w:rsid w:val="00810E10"/>
    <w:rsid w:val="00812BC8"/>
    <w:rsid w:val="00813984"/>
    <w:rsid w:val="00817056"/>
    <w:rsid w:val="008253FA"/>
    <w:rsid w:val="00847CD7"/>
    <w:rsid w:val="00851666"/>
    <w:rsid w:val="00853727"/>
    <w:rsid w:val="00856AF0"/>
    <w:rsid w:val="008626D7"/>
    <w:rsid w:val="0086528B"/>
    <w:rsid w:val="00867313"/>
    <w:rsid w:val="00870E12"/>
    <w:rsid w:val="00873459"/>
    <w:rsid w:val="00873F4A"/>
    <w:rsid w:val="00881CA8"/>
    <w:rsid w:val="008826A2"/>
    <w:rsid w:val="00882B26"/>
    <w:rsid w:val="0088368B"/>
    <w:rsid w:val="00885C52"/>
    <w:rsid w:val="0088691E"/>
    <w:rsid w:val="00887A37"/>
    <w:rsid w:val="00887BE4"/>
    <w:rsid w:val="00897316"/>
    <w:rsid w:val="008A2938"/>
    <w:rsid w:val="008A595C"/>
    <w:rsid w:val="008A7C5A"/>
    <w:rsid w:val="008B2FF8"/>
    <w:rsid w:val="008B4787"/>
    <w:rsid w:val="008B706F"/>
    <w:rsid w:val="008C0734"/>
    <w:rsid w:val="008C2362"/>
    <w:rsid w:val="008C349A"/>
    <w:rsid w:val="008C3951"/>
    <w:rsid w:val="008C4FEA"/>
    <w:rsid w:val="008C5BC0"/>
    <w:rsid w:val="008D3E52"/>
    <w:rsid w:val="008D6B4E"/>
    <w:rsid w:val="008D7E23"/>
    <w:rsid w:val="008E3646"/>
    <w:rsid w:val="008F1F8B"/>
    <w:rsid w:val="008F4883"/>
    <w:rsid w:val="00901DA0"/>
    <w:rsid w:val="00903FA0"/>
    <w:rsid w:val="00904D0A"/>
    <w:rsid w:val="009079E0"/>
    <w:rsid w:val="0092121F"/>
    <w:rsid w:val="009243F7"/>
    <w:rsid w:val="0094244E"/>
    <w:rsid w:val="00950457"/>
    <w:rsid w:val="00952574"/>
    <w:rsid w:val="00960391"/>
    <w:rsid w:val="009609DE"/>
    <w:rsid w:val="0097101D"/>
    <w:rsid w:val="00973037"/>
    <w:rsid w:val="009774CE"/>
    <w:rsid w:val="009830BC"/>
    <w:rsid w:val="0098550A"/>
    <w:rsid w:val="009860D7"/>
    <w:rsid w:val="00990E10"/>
    <w:rsid w:val="009966A5"/>
    <w:rsid w:val="00997CB7"/>
    <w:rsid w:val="009B244E"/>
    <w:rsid w:val="009B7D1E"/>
    <w:rsid w:val="009C4D2C"/>
    <w:rsid w:val="009D279B"/>
    <w:rsid w:val="009E1913"/>
    <w:rsid w:val="009E1B2D"/>
    <w:rsid w:val="009E35A7"/>
    <w:rsid w:val="009E3A18"/>
    <w:rsid w:val="009E50A0"/>
    <w:rsid w:val="009E5CFF"/>
    <w:rsid w:val="009E7129"/>
    <w:rsid w:val="009F3634"/>
    <w:rsid w:val="009F3B5A"/>
    <w:rsid w:val="009F767D"/>
    <w:rsid w:val="00A06934"/>
    <w:rsid w:val="00A12594"/>
    <w:rsid w:val="00A33ECC"/>
    <w:rsid w:val="00A359A9"/>
    <w:rsid w:val="00A41EC7"/>
    <w:rsid w:val="00A46781"/>
    <w:rsid w:val="00A475C3"/>
    <w:rsid w:val="00A51C27"/>
    <w:rsid w:val="00A56AED"/>
    <w:rsid w:val="00A63929"/>
    <w:rsid w:val="00A67304"/>
    <w:rsid w:val="00A70AD9"/>
    <w:rsid w:val="00A727C5"/>
    <w:rsid w:val="00A72BEB"/>
    <w:rsid w:val="00A762F6"/>
    <w:rsid w:val="00A804C0"/>
    <w:rsid w:val="00A83669"/>
    <w:rsid w:val="00A86DB1"/>
    <w:rsid w:val="00A8773E"/>
    <w:rsid w:val="00A96D44"/>
    <w:rsid w:val="00AA1911"/>
    <w:rsid w:val="00AA230C"/>
    <w:rsid w:val="00AB2E51"/>
    <w:rsid w:val="00AD6F69"/>
    <w:rsid w:val="00AF588F"/>
    <w:rsid w:val="00B13151"/>
    <w:rsid w:val="00B4525F"/>
    <w:rsid w:val="00B5160D"/>
    <w:rsid w:val="00B5160E"/>
    <w:rsid w:val="00B5440E"/>
    <w:rsid w:val="00B55B81"/>
    <w:rsid w:val="00B64D6F"/>
    <w:rsid w:val="00B677EB"/>
    <w:rsid w:val="00B731A8"/>
    <w:rsid w:val="00B8261F"/>
    <w:rsid w:val="00B828A7"/>
    <w:rsid w:val="00B85CF9"/>
    <w:rsid w:val="00B91AA1"/>
    <w:rsid w:val="00B927C2"/>
    <w:rsid w:val="00BA0260"/>
    <w:rsid w:val="00BA0794"/>
    <w:rsid w:val="00BA20C2"/>
    <w:rsid w:val="00BB2630"/>
    <w:rsid w:val="00BD0FA0"/>
    <w:rsid w:val="00BD24BB"/>
    <w:rsid w:val="00BD353F"/>
    <w:rsid w:val="00BD42E3"/>
    <w:rsid w:val="00BE2C4E"/>
    <w:rsid w:val="00BF3FA7"/>
    <w:rsid w:val="00BF4EB1"/>
    <w:rsid w:val="00C07346"/>
    <w:rsid w:val="00C13EE9"/>
    <w:rsid w:val="00C3033F"/>
    <w:rsid w:val="00C36F7C"/>
    <w:rsid w:val="00C43D91"/>
    <w:rsid w:val="00C53289"/>
    <w:rsid w:val="00C57D59"/>
    <w:rsid w:val="00C63094"/>
    <w:rsid w:val="00C65BAC"/>
    <w:rsid w:val="00C67641"/>
    <w:rsid w:val="00C75B56"/>
    <w:rsid w:val="00C76BA1"/>
    <w:rsid w:val="00C76EA8"/>
    <w:rsid w:val="00C80B48"/>
    <w:rsid w:val="00C817ED"/>
    <w:rsid w:val="00C82DEC"/>
    <w:rsid w:val="00C83655"/>
    <w:rsid w:val="00C91FF4"/>
    <w:rsid w:val="00CA131B"/>
    <w:rsid w:val="00CB3B72"/>
    <w:rsid w:val="00CB6E66"/>
    <w:rsid w:val="00CC1B62"/>
    <w:rsid w:val="00CC6C17"/>
    <w:rsid w:val="00CC747A"/>
    <w:rsid w:val="00CD004A"/>
    <w:rsid w:val="00CD09D3"/>
    <w:rsid w:val="00CD1534"/>
    <w:rsid w:val="00CD2DE1"/>
    <w:rsid w:val="00CD674B"/>
    <w:rsid w:val="00CE356C"/>
    <w:rsid w:val="00CE4567"/>
    <w:rsid w:val="00CF14D7"/>
    <w:rsid w:val="00CF1AAF"/>
    <w:rsid w:val="00CF7F59"/>
    <w:rsid w:val="00D007A1"/>
    <w:rsid w:val="00D01063"/>
    <w:rsid w:val="00D040CF"/>
    <w:rsid w:val="00D04F35"/>
    <w:rsid w:val="00D075D3"/>
    <w:rsid w:val="00D13207"/>
    <w:rsid w:val="00D21232"/>
    <w:rsid w:val="00D31D54"/>
    <w:rsid w:val="00D347CC"/>
    <w:rsid w:val="00D34C20"/>
    <w:rsid w:val="00D50430"/>
    <w:rsid w:val="00D50D2F"/>
    <w:rsid w:val="00D51975"/>
    <w:rsid w:val="00D53640"/>
    <w:rsid w:val="00D544A3"/>
    <w:rsid w:val="00D629CB"/>
    <w:rsid w:val="00D71049"/>
    <w:rsid w:val="00D75E9D"/>
    <w:rsid w:val="00D76D12"/>
    <w:rsid w:val="00D83967"/>
    <w:rsid w:val="00D914B4"/>
    <w:rsid w:val="00D91F29"/>
    <w:rsid w:val="00D932E1"/>
    <w:rsid w:val="00D949AA"/>
    <w:rsid w:val="00D959C5"/>
    <w:rsid w:val="00D964FD"/>
    <w:rsid w:val="00D9707A"/>
    <w:rsid w:val="00D97C75"/>
    <w:rsid w:val="00DA0144"/>
    <w:rsid w:val="00DA2B29"/>
    <w:rsid w:val="00DA52DD"/>
    <w:rsid w:val="00DA77EF"/>
    <w:rsid w:val="00DB2976"/>
    <w:rsid w:val="00DB2D3F"/>
    <w:rsid w:val="00DB499B"/>
    <w:rsid w:val="00DC0750"/>
    <w:rsid w:val="00DC316B"/>
    <w:rsid w:val="00DC4F0B"/>
    <w:rsid w:val="00DD175E"/>
    <w:rsid w:val="00DD2FC2"/>
    <w:rsid w:val="00DD39F8"/>
    <w:rsid w:val="00DD41CD"/>
    <w:rsid w:val="00DD4DB6"/>
    <w:rsid w:val="00DD58A3"/>
    <w:rsid w:val="00DE7FF9"/>
    <w:rsid w:val="00DF0796"/>
    <w:rsid w:val="00DF18C5"/>
    <w:rsid w:val="00DF21BE"/>
    <w:rsid w:val="00DF2340"/>
    <w:rsid w:val="00E01AD2"/>
    <w:rsid w:val="00E148BA"/>
    <w:rsid w:val="00E16903"/>
    <w:rsid w:val="00E215F0"/>
    <w:rsid w:val="00E251FC"/>
    <w:rsid w:val="00E26F87"/>
    <w:rsid w:val="00E33E22"/>
    <w:rsid w:val="00E42575"/>
    <w:rsid w:val="00E44415"/>
    <w:rsid w:val="00E502EC"/>
    <w:rsid w:val="00E529F5"/>
    <w:rsid w:val="00E63537"/>
    <w:rsid w:val="00E645A2"/>
    <w:rsid w:val="00E64A80"/>
    <w:rsid w:val="00E76AC8"/>
    <w:rsid w:val="00E8045E"/>
    <w:rsid w:val="00E92903"/>
    <w:rsid w:val="00E9603C"/>
    <w:rsid w:val="00EA0A75"/>
    <w:rsid w:val="00EA2998"/>
    <w:rsid w:val="00EB0C15"/>
    <w:rsid w:val="00EB2ACE"/>
    <w:rsid w:val="00EB4C1B"/>
    <w:rsid w:val="00EC2D62"/>
    <w:rsid w:val="00ED1DF9"/>
    <w:rsid w:val="00ED1E6D"/>
    <w:rsid w:val="00ED2E9F"/>
    <w:rsid w:val="00ED605C"/>
    <w:rsid w:val="00ED683C"/>
    <w:rsid w:val="00EF7CF0"/>
    <w:rsid w:val="00F07717"/>
    <w:rsid w:val="00F0791E"/>
    <w:rsid w:val="00F104E7"/>
    <w:rsid w:val="00F138C8"/>
    <w:rsid w:val="00F13CDD"/>
    <w:rsid w:val="00F14458"/>
    <w:rsid w:val="00F1650D"/>
    <w:rsid w:val="00F16772"/>
    <w:rsid w:val="00F17F70"/>
    <w:rsid w:val="00F20DCD"/>
    <w:rsid w:val="00F235BF"/>
    <w:rsid w:val="00F306F8"/>
    <w:rsid w:val="00F36E88"/>
    <w:rsid w:val="00F41C41"/>
    <w:rsid w:val="00F43C7B"/>
    <w:rsid w:val="00F67CEB"/>
    <w:rsid w:val="00F72910"/>
    <w:rsid w:val="00F72B77"/>
    <w:rsid w:val="00F73970"/>
    <w:rsid w:val="00F85008"/>
    <w:rsid w:val="00F96FAF"/>
    <w:rsid w:val="00FA3182"/>
    <w:rsid w:val="00FA43EA"/>
    <w:rsid w:val="00FA529D"/>
    <w:rsid w:val="00FA5879"/>
    <w:rsid w:val="00FB3694"/>
    <w:rsid w:val="00FB5BEF"/>
    <w:rsid w:val="00FB7797"/>
    <w:rsid w:val="00FC73FE"/>
    <w:rsid w:val="00FD5BA4"/>
    <w:rsid w:val="00FD5E38"/>
    <w:rsid w:val="00FD7146"/>
    <w:rsid w:val="00FE3A85"/>
    <w:rsid w:val="00FE5752"/>
    <w:rsid w:val="00FF09F8"/>
    <w:rsid w:val="00FF1032"/>
    <w:rsid w:val="00FF3EB6"/>
    <w:rsid w:val="00FF4A09"/>
    <w:rsid w:val="00FF669C"/>
    <w:rsid w:val="00FF71C2"/>
    <w:rsid w:val="00FF7255"/>
    <w:rsid w:val="00FF7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B57C733"/>
  <w15:chartTrackingRefBased/>
  <w15:docId w15:val="{DA22E6D7-63D9-4929-BE3B-DDD79879C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2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B5FA1"/>
    <w:pPr>
      <w:tabs>
        <w:tab w:val="center" w:pos="4153"/>
        <w:tab w:val="right" w:pos="8306"/>
      </w:tabs>
    </w:pPr>
  </w:style>
  <w:style w:type="character" w:styleId="PageNumber">
    <w:name w:val="page number"/>
    <w:basedOn w:val="DefaultParagraphFont"/>
    <w:rsid w:val="000B5FA1"/>
  </w:style>
  <w:style w:type="character" w:styleId="CommentReference">
    <w:name w:val="annotation reference"/>
    <w:semiHidden/>
    <w:rsid w:val="000E5453"/>
    <w:rPr>
      <w:sz w:val="16"/>
      <w:szCs w:val="16"/>
    </w:rPr>
  </w:style>
  <w:style w:type="paragraph" w:styleId="CommentText">
    <w:name w:val="annotation text"/>
    <w:basedOn w:val="Normal"/>
    <w:semiHidden/>
    <w:rsid w:val="000E5453"/>
    <w:rPr>
      <w:sz w:val="20"/>
      <w:szCs w:val="20"/>
    </w:rPr>
  </w:style>
  <w:style w:type="paragraph" w:styleId="CommentSubject">
    <w:name w:val="annotation subject"/>
    <w:basedOn w:val="CommentText"/>
    <w:next w:val="CommentText"/>
    <w:semiHidden/>
    <w:rsid w:val="000E5453"/>
    <w:rPr>
      <w:b/>
      <w:bCs/>
    </w:rPr>
  </w:style>
  <w:style w:type="paragraph" w:styleId="BalloonText">
    <w:name w:val="Balloon Text"/>
    <w:basedOn w:val="Normal"/>
    <w:semiHidden/>
    <w:rsid w:val="000E5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5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ettings" Target="settings.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image" Target="media/image10.emf"/><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4879</Words>
  <Characters>27813</Characters>
  <Application>Microsoft Office Word</Application>
  <DocSecurity>0</DocSecurity>
  <Lines>231</Lines>
  <Paragraphs>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
  <LinksUpToDate>false</LinksUpToDate>
  <CharactersWithSpaces>32627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lee arnold</dc:creator>
  <cp:keywords/>
  <cp:lastModifiedBy>Lee Arnold</cp:lastModifiedBy>
  <cp:revision>5</cp:revision>
  <cp:lastPrinted>2013-03-25T01:39:00Z</cp:lastPrinted>
  <dcterms:created xsi:type="dcterms:W3CDTF">2022-04-19T02:29:00Z</dcterms:created>
  <dcterms:modified xsi:type="dcterms:W3CDTF">2022-04-19T03:30:00Z</dcterms:modified>
</cp:coreProperties>
</file>