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B019" w14:textId="77777777" w:rsidR="003E7D2C" w:rsidRPr="00E3105B" w:rsidRDefault="003E7D2C" w:rsidP="005D36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E3105B">
        <w:rPr>
          <w:rFonts w:ascii="Times New Roman" w:hAnsi="Times New Roman" w:cs="Times New Roman"/>
          <w:b/>
          <w:sz w:val="24"/>
          <w:szCs w:val="24"/>
        </w:rPr>
        <w:t xml:space="preserve">Introducción </w:t>
      </w:r>
    </w:p>
    <w:p w14:paraId="3A038AF2" w14:textId="002939D3" w:rsidR="003E7D2C" w:rsidRDefault="003E7D2C" w:rsidP="005D360F">
      <w:pPr>
        <w:spacing w:before="120" w:after="120" w:line="360" w:lineRule="auto"/>
        <w:ind w:firstLine="425"/>
        <w:rPr>
          <w:rFonts w:ascii="Times New Roman" w:hAnsi="Times New Roman" w:cs="Times New Roman"/>
          <w:sz w:val="24"/>
          <w:szCs w:val="24"/>
        </w:rPr>
      </w:pPr>
      <w:r>
        <w:rPr>
          <w:rFonts w:ascii="Times New Roman" w:hAnsi="Times New Roman" w:cs="Times New Roman"/>
          <w:sz w:val="24"/>
          <w:szCs w:val="24"/>
        </w:rPr>
        <w:t xml:space="preserve">La incidencia de la discapacidad en la infancia </w:t>
      </w:r>
      <w:r w:rsidR="00F30C17">
        <w:rPr>
          <w:rFonts w:ascii="Times New Roman" w:hAnsi="Times New Roman" w:cs="Times New Roman"/>
          <w:sz w:val="24"/>
          <w:szCs w:val="24"/>
        </w:rPr>
        <w:t>representa</w:t>
      </w:r>
      <w:r>
        <w:rPr>
          <w:rFonts w:ascii="Times New Roman" w:hAnsi="Times New Roman" w:cs="Times New Roman"/>
          <w:sz w:val="24"/>
          <w:szCs w:val="24"/>
        </w:rPr>
        <w:t xml:space="preserve"> </w:t>
      </w:r>
      <w:r w:rsidR="0044055F">
        <w:rPr>
          <w:rFonts w:ascii="Times New Roman" w:hAnsi="Times New Roman" w:cs="Times New Roman"/>
          <w:sz w:val="24"/>
          <w:szCs w:val="24"/>
        </w:rPr>
        <w:t xml:space="preserve">un </w:t>
      </w:r>
      <w:r>
        <w:rPr>
          <w:rFonts w:ascii="Times New Roman" w:hAnsi="Times New Roman" w:cs="Times New Roman"/>
          <w:sz w:val="24"/>
          <w:szCs w:val="24"/>
        </w:rPr>
        <w:t>problema importante de Salud. Los datos recogidos por la Organización Mundial de la Salud</w:t>
      </w:r>
      <w:r>
        <w:rPr>
          <w:rFonts w:ascii="Times New Roman" w:hAnsi="Times New Roman" w:cs="Times New Roman"/>
          <w:sz w:val="24"/>
          <w:szCs w:val="24"/>
          <w:vertAlign w:val="superscript"/>
        </w:rPr>
        <w:t>1</w:t>
      </w:r>
      <w:r>
        <w:rPr>
          <w:rFonts w:ascii="Times New Roman" w:hAnsi="Times New Roman" w:cs="Times New Roman"/>
          <w:sz w:val="24"/>
          <w:szCs w:val="24"/>
        </w:rPr>
        <w:t xml:space="preserve"> en su informe sobre la discapacidad señala que 95 millones de niños, lo que representa un 5,1% de la población mundial, padecen discapacidad entre los 0 y los 14 años; de ellos un 0,7% padece una discapacidad grave. Datos más recientes, como los que ofrece la UNICEF en el </w:t>
      </w:r>
      <w:r w:rsidRPr="00E3105B">
        <w:rPr>
          <w:rFonts w:ascii="Times New Roman" w:hAnsi="Times New Roman" w:cs="Times New Roman"/>
          <w:sz w:val="24"/>
          <w:szCs w:val="24"/>
        </w:rPr>
        <w:t>informe sobre el estado mundial de la infancia</w:t>
      </w:r>
      <w:r>
        <w:rPr>
          <w:rFonts w:ascii="Times New Roman" w:hAnsi="Times New Roman" w:cs="Times New Roman"/>
          <w:sz w:val="24"/>
          <w:szCs w:val="24"/>
          <w:vertAlign w:val="superscript"/>
        </w:rPr>
        <w:t>2</w:t>
      </w:r>
      <w:r w:rsidRPr="00E3105B">
        <w:rPr>
          <w:rFonts w:ascii="Times New Roman" w:hAnsi="Times New Roman" w:cs="Times New Roman"/>
          <w:sz w:val="24"/>
          <w:szCs w:val="24"/>
        </w:rPr>
        <w:t xml:space="preserve">, </w:t>
      </w:r>
      <w:r>
        <w:rPr>
          <w:rFonts w:ascii="Times New Roman" w:hAnsi="Times New Roman" w:cs="Times New Roman"/>
          <w:sz w:val="24"/>
          <w:szCs w:val="24"/>
        </w:rPr>
        <w:t>el 0,05% de los niños</w:t>
      </w:r>
      <w:r w:rsidRPr="00E3105B">
        <w:rPr>
          <w:rFonts w:ascii="Times New Roman" w:hAnsi="Times New Roman" w:cs="Times New Roman"/>
          <w:sz w:val="24"/>
          <w:szCs w:val="24"/>
        </w:rPr>
        <w:t>, vive con una discapacidad moderada o grave.</w:t>
      </w:r>
    </w:p>
    <w:p w14:paraId="34F633EA" w14:textId="547F5547" w:rsidR="003E7D2C" w:rsidRDefault="003E7D2C" w:rsidP="005D360F">
      <w:pPr>
        <w:spacing w:before="120" w:after="120" w:line="360" w:lineRule="auto"/>
        <w:ind w:firstLine="425"/>
        <w:rPr>
          <w:rFonts w:ascii="Times New Roman" w:hAnsi="Times New Roman" w:cs="Times New Roman"/>
          <w:sz w:val="24"/>
          <w:szCs w:val="24"/>
        </w:rPr>
      </w:pPr>
      <w:r>
        <w:rPr>
          <w:rFonts w:ascii="Times New Roman" w:hAnsi="Times New Roman" w:cs="Times New Roman"/>
          <w:sz w:val="24"/>
          <w:szCs w:val="24"/>
        </w:rPr>
        <w:t xml:space="preserve">El nuevo marco conceptual que estableció la </w:t>
      </w:r>
      <w:r w:rsidRPr="00E3105B">
        <w:rPr>
          <w:rFonts w:ascii="Times New Roman" w:hAnsi="Times New Roman" w:cs="Times New Roman"/>
          <w:sz w:val="24"/>
          <w:szCs w:val="24"/>
        </w:rPr>
        <w:t>Clasificación Internacional del Funcionamiento, la Discapacidad y la Salud</w:t>
      </w:r>
      <w:r>
        <w:rPr>
          <w:rFonts w:ascii="Times New Roman" w:hAnsi="Times New Roman" w:cs="Times New Roman"/>
          <w:sz w:val="24"/>
          <w:szCs w:val="24"/>
        </w:rPr>
        <w:t xml:space="preserve"> (CIF)</w:t>
      </w:r>
      <w:r>
        <w:rPr>
          <w:rFonts w:ascii="Times New Roman" w:hAnsi="Times New Roman" w:cs="Times New Roman"/>
          <w:sz w:val="24"/>
          <w:szCs w:val="24"/>
          <w:vertAlign w:val="superscript"/>
        </w:rPr>
        <w:t>3</w:t>
      </w:r>
      <w:r w:rsidRPr="00E3105B">
        <w:rPr>
          <w:rFonts w:ascii="Times New Roman" w:hAnsi="Times New Roman" w:cs="Times New Roman"/>
          <w:sz w:val="24"/>
          <w:szCs w:val="24"/>
        </w:rPr>
        <w:t>,</w:t>
      </w:r>
      <w:r>
        <w:rPr>
          <w:rFonts w:ascii="Times New Roman" w:hAnsi="Times New Roman" w:cs="Times New Roman"/>
          <w:sz w:val="24"/>
          <w:szCs w:val="24"/>
        </w:rPr>
        <w:t xml:space="preserve"> centró la atención en la capacidad de desempeño en las actividades cotidianas de todas las personas, fueran niños o adultos.</w:t>
      </w:r>
      <w:r w:rsidR="0044055F">
        <w:rPr>
          <w:rFonts w:ascii="Times New Roman" w:hAnsi="Times New Roman" w:cs="Times New Roman"/>
          <w:sz w:val="24"/>
          <w:szCs w:val="24"/>
        </w:rPr>
        <w:t xml:space="preserve"> Además, p</w:t>
      </w:r>
      <w:r>
        <w:rPr>
          <w:rFonts w:ascii="Times New Roman" w:hAnsi="Times New Roman" w:cs="Times New Roman"/>
          <w:sz w:val="24"/>
          <w:szCs w:val="24"/>
        </w:rPr>
        <w:t>or otro</w:t>
      </w:r>
      <w:r w:rsidR="0044055F">
        <w:rPr>
          <w:rFonts w:ascii="Times New Roman" w:hAnsi="Times New Roman" w:cs="Times New Roman"/>
          <w:sz w:val="24"/>
          <w:szCs w:val="24"/>
        </w:rPr>
        <w:t xml:space="preserve"> lado</w:t>
      </w:r>
      <w:r>
        <w:rPr>
          <w:rFonts w:ascii="Times New Roman" w:hAnsi="Times New Roman" w:cs="Times New Roman"/>
          <w:sz w:val="24"/>
          <w:szCs w:val="24"/>
        </w:rPr>
        <w:t xml:space="preserve">, la CIF realza el papel activo de la persona en su proceso de salud. </w:t>
      </w:r>
      <w:r w:rsidR="00A26349">
        <w:rPr>
          <w:rFonts w:ascii="Times New Roman" w:hAnsi="Times New Roman" w:cs="Times New Roman"/>
          <w:sz w:val="24"/>
          <w:szCs w:val="24"/>
        </w:rPr>
        <w:t>A</w:t>
      </w:r>
      <w:r w:rsidRPr="00E3105B">
        <w:rPr>
          <w:rFonts w:ascii="Times New Roman" w:hAnsi="Times New Roman" w:cs="Times New Roman"/>
          <w:sz w:val="24"/>
          <w:szCs w:val="24"/>
        </w:rPr>
        <w:t>tendiendo a este fenómeno que destierra el paradigma clásico, aparecen herramientas centradas en el cliente que rec</w:t>
      </w:r>
      <w:r>
        <w:rPr>
          <w:rFonts w:ascii="Times New Roman" w:hAnsi="Times New Roman" w:cs="Times New Roman"/>
          <w:sz w:val="24"/>
          <w:szCs w:val="24"/>
        </w:rPr>
        <w:t>ogen su perspectiva tanto d</w:t>
      </w:r>
      <w:r w:rsidRPr="00E3105B">
        <w:rPr>
          <w:rFonts w:ascii="Times New Roman" w:hAnsi="Times New Roman" w:cs="Times New Roman"/>
          <w:sz w:val="24"/>
          <w:szCs w:val="24"/>
        </w:rPr>
        <w:t xml:space="preserve">el funcionamiento como de las intervenciones, a través de los denominados autoinformes. </w:t>
      </w:r>
    </w:p>
    <w:p w14:paraId="64327537" w14:textId="41AB8A4D" w:rsidR="003E7D2C" w:rsidRPr="00E3105B" w:rsidRDefault="004950D9" w:rsidP="005D360F">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Por otra parte, e</w:t>
      </w:r>
      <w:r w:rsidR="003E7D2C" w:rsidRPr="00E3105B">
        <w:rPr>
          <w:rFonts w:ascii="Times New Roman" w:hAnsi="Times New Roman" w:cs="Times New Roman"/>
          <w:sz w:val="24"/>
          <w:szCs w:val="24"/>
        </w:rPr>
        <w:t xml:space="preserve">l uso de los autoinformes en la infancia permite conocer realmente cómo </w:t>
      </w:r>
      <w:r w:rsidR="003E7D2C">
        <w:rPr>
          <w:rFonts w:ascii="Times New Roman" w:hAnsi="Times New Roman" w:cs="Times New Roman"/>
          <w:sz w:val="24"/>
          <w:szCs w:val="24"/>
        </w:rPr>
        <w:t xml:space="preserve">la propia persona </w:t>
      </w:r>
      <w:r w:rsidR="003E7D2C" w:rsidRPr="00E3105B">
        <w:rPr>
          <w:rFonts w:ascii="Times New Roman" w:hAnsi="Times New Roman" w:cs="Times New Roman"/>
          <w:sz w:val="24"/>
          <w:szCs w:val="24"/>
        </w:rPr>
        <w:t>vive sus limitaciones y cómo es el impacto de los tratamientos que recibe en su vida diaria, dándole ese papel activo que se reclama desde el principio ético de autonomía y que forma parte del nuevo paradigma en torno a la discapacidad</w:t>
      </w:r>
      <w:r w:rsidR="003E7D2C" w:rsidRPr="00E25A9A">
        <w:rPr>
          <w:rFonts w:ascii="Times New Roman" w:hAnsi="Times New Roman" w:cs="Times New Roman"/>
          <w:sz w:val="24"/>
          <w:szCs w:val="24"/>
        </w:rPr>
        <w:t>. Hasta hace poco tiempo se consideraba que un niño no era un buen informante, pero en este momento se cuenta con instrumentos probados que ha</w:t>
      </w:r>
      <w:r w:rsidR="00A26349">
        <w:rPr>
          <w:rFonts w:ascii="Times New Roman" w:hAnsi="Times New Roman" w:cs="Times New Roman"/>
          <w:sz w:val="24"/>
          <w:szCs w:val="24"/>
        </w:rPr>
        <w:t>n</w:t>
      </w:r>
      <w:r w:rsidR="003E7D2C" w:rsidRPr="00E25A9A">
        <w:rPr>
          <w:rFonts w:ascii="Times New Roman" w:hAnsi="Times New Roman" w:cs="Times New Roman"/>
          <w:sz w:val="24"/>
          <w:szCs w:val="24"/>
        </w:rPr>
        <w:t xml:space="preserve"> demostrado su sensibilidad para el diagnóstico y que son fácilmente cumplimentados por niños</w:t>
      </w:r>
      <w:r w:rsidR="00E069DF">
        <w:rPr>
          <w:rFonts w:ascii="Times New Roman" w:hAnsi="Times New Roman" w:cs="Times New Roman"/>
          <w:sz w:val="24"/>
          <w:szCs w:val="24"/>
        </w:rPr>
        <w:t xml:space="preserve">, como pueden ser </w:t>
      </w:r>
      <w:r w:rsidR="00F719F3">
        <w:rPr>
          <w:rFonts w:ascii="Times New Roman" w:hAnsi="Times New Roman" w:cs="Times New Roman"/>
          <w:sz w:val="24"/>
          <w:szCs w:val="24"/>
        </w:rPr>
        <w:t xml:space="preserve">la </w:t>
      </w:r>
      <w:r w:rsidR="00E069DF">
        <w:rPr>
          <w:rFonts w:ascii="Times New Roman" w:hAnsi="Times New Roman" w:cs="Times New Roman"/>
          <w:sz w:val="24"/>
          <w:szCs w:val="24"/>
        </w:rPr>
        <w:t>autoevaluación ocupacional infantil (</w:t>
      </w:r>
      <w:proofErr w:type="spellStart"/>
      <w:r w:rsidR="00E069DF">
        <w:rPr>
          <w:rFonts w:ascii="Times New Roman" w:hAnsi="Times New Roman" w:cs="Times New Roman"/>
          <w:sz w:val="24"/>
          <w:szCs w:val="24"/>
        </w:rPr>
        <w:t>Child</w:t>
      </w:r>
      <w:proofErr w:type="spellEnd"/>
      <w:r w:rsidR="00E069DF">
        <w:rPr>
          <w:rFonts w:ascii="Times New Roman" w:hAnsi="Times New Roman" w:cs="Times New Roman"/>
          <w:sz w:val="24"/>
          <w:szCs w:val="24"/>
        </w:rPr>
        <w:t xml:space="preserve"> </w:t>
      </w:r>
      <w:proofErr w:type="spellStart"/>
      <w:r w:rsidR="00E069DF">
        <w:rPr>
          <w:rFonts w:ascii="Times New Roman" w:hAnsi="Times New Roman" w:cs="Times New Roman"/>
          <w:sz w:val="24"/>
          <w:szCs w:val="24"/>
        </w:rPr>
        <w:t>occupational</w:t>
      </w:r>
      <w:proofErr w:type="spellEnd"/>
      <w:r w:rsidR="00E069DF">
        <w:rPr>
          <w:rFonts w:ascii="Times New Roman" w:hAnsi="Times New Roman" w:cs="Times New Roman"/>
          <w:sz w:val="24"/>
          <w:szCs w:val="24"/>
        </w:rPr>
        <w:t xml:space="preserve"> </w:t>
      </w:r>
      <w:proofErr w:type="spellStart"/>
      <w:r w:rsidR="00E069DF">
        <w:rPr>
          <w:rFonts w:ascii="Times New Roman" w:hAnsi="Times New Roman" w:cs="Times New Roman"/>
          <w:sz w:val="24"/>
          <w:szCs w:val="24"/>
        </w:rPr>
        <w:t>self-assessment</w:t>
      </w:r>
      <w:proofErr w:type="spellEnd"/>
      <w:r w:rsidR="00E069DF">
        <w:rPr>
          <w:rFonts w:ascii="Times New Roman" w:hAnsi="Times New Roman" w:cs="Times New Roman"/>
          <w:sz w:val="24"/>
          <w:szCs w:val="24"/>
        </w:rPr>
        <w:t>, COSA)</w:t>
      </w:r>
      <w:r w:rsidR="0074722F" w:rsidRPr="0074722F">
        <w:rPr>
          <w:rFonts w:ascii="Times New Roman" w:hAnsi="Times New Roman" w:cs="Times New Roman"/>
          <w:sz w:val="24"/>
          <w:szCs w:val="24"/>
          <w:vertAlign w:val="superscript"/>
        </w:rPr>
        <w:t>4</w:t>
      </w:r>
      <w:r w:rsidR="00E069DF">
        <w:rPr>
          <w:rFonts w:ascii="Times New Roman" w:hAnsi="Times New Roman" w:cs="Times New Roman"/>
          <w:sz w:val="24"/>
          <w:szCs w:val="24"/>
        </w:rPr>
        <w:t xml:space="preserve"> y el instrumento pediátrico de resultados (</w:t>
      </w:r>
      <w:proofErr w:type="spellStart"/>
      <w:r w:rsidR="00E069DF">
        <w:rPr>
          <w:rFonts w:ascii="Times New Roman" w:hAnsi="Times New Roman" w:cs="Times New Roman"/>
          <w:sz w:val="24"/>
          <w:szCs w:val="24"/>
        </w:rPr>
        <w:t>Pediatric</w:t>
      </w:r>
      <w:proofErr w:type="spellEnd"/>
      <w:r w:rsidR="00E069DF">
        <w:rPr>
          <w:rFonts w:ascii="Times New Roman" w:hAnsi="Times New Roman" w:cs="Times New Roman"/>
          <w:sz w:val="24"/>
          <w:szCs w:val="24"/>
        </w:rPr>
        <w:t xml:space="preserve"> </w:t>
      </w:r>
      <w:proofErr w:type="spellStart"/>
      <w:r w:rsidR="00E069DF">
        <w:rPr>
          <w:rFonts w:ascii="Times New Roman" w:hAnsi="Times New Roman" w:cs="Times New Roman"/>
          <w:sz w:val="24"/>
          <w:szCs w:val="24"/>
        </w:rPr>
        <w:t>outcomes</w:t>
      </w:r>
      <w:proofErr w:type="spellEnd"/>
      <w:r w:rsidR="00E069DF">
        <w:rPr>
          <w:rFonts w:ascii="Times New Roman" w:hAnsi="Times New Roman" w:cs="Times New Roman"/>
          <w:sz w:val="24"/>
          <w:szCs w:val="24"/>
        </w:rPr>
        <w:t xml:space="preserve"> data </w:t>
      </w:r>
      <w:proofErr w:type="spellStart"/>
      <w:r w:rsidR="00E069DF">
        <w:rPr>
          <w:rFonts w:ascii="Times New Roman" w:hAnsi="Times New Roman" w:cs="Times New Roman"/>
          <w:sz w:val="24"/>
          <w:szCs w:val="24"/>
        </w:rPr>
        <w:t>collection</w:t>
      </w:r>
      <w:proofErr w:type="spellEnd"/>
      <w:r w:rsidR="00E069DF">
        <w:rPr>
          <w:rFonts w:ascii="Times New Roman" w:hAnsi="Times New Roman" w:cs="Times New Roman"/>
          <w:sz w:val="24"/>
          <w:szCs w:val="24"/>
        </w:rPr>
        <w:t xml:space="preserve"> </w:t>
      </w:r>
      <w:proofErr w:type="spellStart"/>
      <w:r w:rsidR="00E069DF">
        <w:rPr>
          <w:rFonts w:ascii="Times New Roman" w:hAnsi="Times New Roman" w:cs="Times New Roman"/>
          <w:sz w:val="24"/>
          <w:szCs w:val="24"/>
        </w:rPr>
        <w:t>instrument</w:t>
      </w:r>
      <w:proofErr w:type="spellEnd"/>
      <w:r w:rsidR="00E069DF">
        <w:rPr>
          <w:rFonts w:ascii="Times New Roman" w:hAnsi="Times New Roman" w:cs="Times New Roman"/>
          <w:sz w:val="24"/>
          <w:szCs w:val="24"/>
        </w:rPr>
        <w:t>, PODCI)</w:t>
      </w:r>
      <w:r w:rsidR="0074722F">
        <w:rPr>
          <w:rFonts w:ascii="Times New Roman" w:hAnsi="Times New Roman" w:cs="Times New Roman"/>
          <w:sz w:val="24"/>
          <w:szCs w:val="24"/>
          <w:vertAlign w:val="superscript"/>
        </w:rPr>
        <w:t>5</w:t>
      </w:r>
      <w:r w:rsidR="003E7D2C" w:rsidRPr="00E25A9A">
        <w:rPr>
          <w:rFonts w:ascii="Times New Roman" w:hAnsi="Times New Roman" w:cs="Times New Roman"/>
          <w:sz w:val="24"/>
          <w:szCs w:val="24"/>
        </w:rPr>
        <w:t>.</w:t>
      </w:r>
      <w:r w:rsidR="003E7D2C">
        <w:rPr>
          <w:rFonts w:ascii="Times New Roman" w:hAnsi="Times New Roman" w:cs="Times New Roman"/>
          <w:sz w:val="24"/>
          <w:szCs w:val="24"/>
        </w:rPr>
        <w:t xml:space="preserve"> </w:t>
      </w:r>
    </w:p>
    <w:p w14:paraId="7EC7BDAE" w14:textId="6AB7A25B" w:rsidR="003E7D2C" w:rsidRPr="00E3105B" w:rsidRDefault="003E7D2C" w:rsidP="005D360F">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Una de las herramientas basadas en</w:t>
      </w:r>
      <w:r w:rsidRPr="00E3105B">
        <w:rPr>
          <w:rFonts w:ascii="Times New Roman" w:hAnsi="Times New Roman" w:cs="Times New Roman"/>
          <w:sz w:val="24"/>
          <w:szCs w:val="24"/>
        </w:rPr>
        <w:t xml:space="preserve"> autoinformes </w:t>
      </w:r>
      <w:r>
        <w:rPr>
          <w:rFonts w:ascii="Times New Roman" w:hAnsi="Times New Roman" w:cs="Times New Roman"/>
          <w:sz w:val="24"/>
          <w:szCs w:val="24"/>
        </w:rPr>
        <w:t xml:space="preserve">es </w:t>
      </w:r>
      <w:r w:rsidRPr="00E3105B">
        <w:rPr>
          <w:rFonts w:ascii="Times New Roman" w:hAnsi="Times New Roman" w:cs="Times New Roman"/>
          <w:sz w:val="24"/>
          <w:szCs w:val="24"/>
        </w:rPr>
        <w:t>la Escala de Actividades para Niños (</w:t>
      </w:r>
      <w:proofErr w:type="spellStart"/>
      <w:r w:rsidRPr="00E3105B">
        <w:rPr>
          <w:rFonts w:ascii="Times New Roman" w:hAnsi="Times New Roman" w:cs="Times New Roman"/>
          <w:sz w:val="24"/>
          <w:szCs w:val="24"/>
        </w:rPr>
        <w:t>Activities</w:t>
      </w:r>
      <w:proofErr w:type="spellEnd"/>
      <w:r w:rsidRPr="00E3105B">
        <w:rPr>
          <w:rFonts w:ascii="Times New Roman" w:hAnsi="Times New Roman" w:cs="Times New Roman"/>
          <w:sz w:val="24"/>
          <w:szCs w:val="24"/>
        </w:rPr>
        <w:t xml:space="preserve"> </w:t>
      </w:r>
      <w:proofErr w:type="spellStart"/>
      <w:r w:rsidRPr="00E3105B">
        <w:rPr>
          <w:rFonts w:ascii="Times New Roman" w:hAnsi="Times New Roman" w:cs="Times New Roman"/>
          <w:sz w:val="24"/>
          <w:szCs w:val="24"/>
        </w:rPr>
        <w:t>Scale</w:t>
      </w:r>
      <w:proofErr w:type="spellEnd"/>
      <w:r w:rsidRPr="00E3105B">
        <w:rPr>
          <w:rFonts w:ascii="Times New Roman" w:hAnsi="Times New Roman" w:cs="Times New Roman"/>
          <w:sz w:val="24"/>
          <w:szCs w:val="24"/>
        </w:rPr>
        <w:t xml:space="preserve"> </w:t>
      </w:r>
      <w:proofErr w:type="spellStart"/>
      <w:r w:rsidRPr="00E3105B">
        <w:rPr>
          <w:rFonts w:ascii="Times New Roman" w:hAnsi="Times New Roman" w:cs="Times New Roman"/>
          <w:sz w:val="24"/>
          <w:szCs w:val="24"/>
        </w:rPr>
        <w:t>for</w:t>
      </w:r>
      <w:proofErr w:type="spellEnd"/>
      <w:r w:rsidRPr="00E3105B">
        <w:rPr>
          <w:rFonts w:ascii="Times New Roman" w:hAnsi="Times New Roman" w:cs="Times New Roman"/>
          <w:sz w:val="24"/>
          <w:szCs w:val="24"/>
        </w:rPr>
        <w:t xml:space="preserve"> </w:t>
      </w:r>
      <w:proofErr w:type="spellStart"/>
      <w:r w:rsidRPr="00E3105B">
        <w:rPr>
          <w:rFonts w:ascii="Times New Roman" w:hAnsi="Times New Roman" w:cs="Times New Roman"/>
          <w:sz w:val="24"/>
          <w:szCs w:val="24"/>
        </w:rPr>
        <w:t>Kids</w:t>
      </w:r>
      <w:proofErr w:type="spellEnd"/>
      <w:r w:rsidRPr="00E3105B">
        <w:rPr>
          <w:rFonts w:ascii="Times New Roman" w:hAnsi="Times New Roman" w:cs="Times New Roman"/>
          <w:sz w:val="24"/>
          <w:szCs w:val="24"/>
        </w:rPr>
        <w:t>, ASK). Desde su desarrollo en 1995</w:t>
      </w:r>
      <w:r w:rsidR="0074722F" w:rsidRPr="0074722F">
        <w:rPr>
          <w:rFonts w:ascii="Times New Roman" w:hAnsi="Times New Roman" w:cs="Times New Roman"/>
          <w:sz w:val="24"/>
          <w:szCs w:val="24"/>
          <w:vertAlign w:val="superscript"/>
        </w:rPr>
        <w:t>6</w:t>
      </w:r>
      <w:r w:rsidR="00A26349">
        <w:rPr>
          <w:rFonts w:ascii="Times New Roman" w:hAnsi="Times New Roman" w:cs="Times New Roman"/>
          <w:sz w:val="24"/>
          <w:szCs w:val="24"/>
        </w:rPr>
        <w:t>,</w:t>
      </w:r>
      <w:r w:rsidRPr="00E3105B">
        <w:rPr>
          <w:rFonts w:ascii="Times New Roman" w:hAnsi="Times New Roman" w:cs="Times New Roman"/>
          <w:sz w:val="24"/>
          <w:szCs w:val="24"/>
        </w:rPr>
        <w:t xml:space="preserve"> en </w:t>
      </w:r>
      <w:r w:rsidR="00A26349" w:rsidRPr="00E3105B">
        <w:rPr>
          <w:rFonts w:ascii="Times New Roman" w:hAnsi="Times New Roman" w:cs="Times New Roman"/>
          <w:sz w:val="24"/>
          <w:szCs w:val="24"/>
        </w:rPr>
        <w:t>Canadá</w:t>
      </w:r>
      <w:r w:rsidRPr="00E3105B">
        <w:rPr>
          <w:rFonts w:ascii="Times New Roman" w:hAnsi="Times New Roman" w:cs="Times New Roman"/>
          <w:sz w:val="24"/>
          <w:szCs w:val="24"/>
        </w:rPr>
        <w:t xml:space="preserve">, </w:t>
      </w:r>
      <w:r w:rsidR="004950D9">
        <w:rPr>
          <w:rFonts w:ascii="Times New Roman" w:hAnsi="Times New Roman" w:cs="Times New Roman"/>
          <w:sz w:val="24"/>
          <w:szCs w:val="24"/>
        </w:rPr>
        <w:t>ha sido utilizado por la comunid</w:t>
      </w:r>
      <w:r w:rsidRPr="00E3105B">
        <w:rPr>
          <w:rFonts w:ascii="Times New Roman" w:hAnsi="Times New Roman" w:cs="Times New Roman"/>
          <w:sz w:val="24"/>
          <w:szCs w:val="24"/>
        </w:rPr>
        <w:t>ad científica para evaluar la eficacia de diferentes tipos de intervenciones tales como los programas de fisioterapia</w:t>
      </w:r>
      <w:r w:rsidR="0074722F">
        <w:rPr>
          <w:rFonts w:ascii="Times New Roman" w:hAnsi="Times New Roman" w:cs="Times New Roman"/>
          <w:sz w:val="24"/>
          <w:szCs w:val="24"/>
          <w:vertAlign w:val="superscript"/>
        </w:rPr>
        <w:t>7</w:t>
      </w:r>
      <w:r w:rsidRPr="00E3105B">
        <w:rPr>
          <w:rFonts w:ascii="Times New Roman" w:hAnsi="Times New Roman" w:cs="Times New Roman"/>
          <w:sz w:val="24"/>
          <w:szCs w:val="24"/>
        </w:rPr>
        <w:t xml:space="preserve">, </w:t>
      </w:r>
      <w:r>
        <w:rPr>
          <w:rFonts w:ascii="Times New Roman" w:hAnsi="Times New Roman" w:cs="Times New Roman"/>
          <w:sz w:val="24"/>
          <w:szCs w:val="24"/>
        </w:rPr>
        <w:t xml:space="preserve">la eficacia del </w:t>
      </w:r>
      <w:r w:rsidRPr="00E3105B">
        <w:rPr>
          <w:rFonts w:ascii="Times New Roman" w:hAnsi="Times New Roman" w:cs="Times New Roman"/>
          <w:sz w:val="24"/>
          <w:szCs w:val="24"/>
        </w:rPr>
        <w:t>uso de férulas frente a otros productos como escayola o estabilizadores</w:t>
      </w:r>
      <w:r w:rsidR="0074722F">
        <w:rPr>
          <w:rFonts w:ascii="Times New Roman" w:hAnsi="Times New Roman" w:cs="Times New Roman"/>
          <w:sz w:val="24"/>
          <w:szCs w:val="24"/>
          <w:vertAlign w:val="superscript"/>
        </w:rPr>
        <w:t>8</w:t>
      </w:r>
      <w:r w:rsidR="00EF297D">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y </w:t>
      </w:r>
      <w:r w:rsidRPr="00E3105B">
        <w:rPr>
          <w:rFonts w:ascii="Times New Roman" w:hAnsi="Times New Roman" w:cs="Times New Roman"/>
          <w:sz w:val="24"/>
          <w:szCs w:val="24"/>
        </w:rPr>
        <w:t>tratamiento de hipoterapia</w:t>
      </w:r>
      <w:r>
        <w:rPr>
          <w:rFonts w:ascii="Times New Roman" w:hAnsi="Times New Roman" w:cs="Times New Roman"/>
          <w:sz w:val="24"/>
          <w:szCs w:val="24"/>
          <w:vertAlign w:val="superscript"/>
        </w:rPr>
        <w:t>10</w:t>
      </w:r>
      <w:r w:rsidR="00A26349">
        <w:rPr>
          <w:rFonts w:ascii="Times New Roman" w:hAnsi="Times New Roman" w:cs="Times New Roman"/>
          <w:sz w:val="24"/>
          <w:szCs w:val="24"/>
        </w:rPr>
        <w:t>,</w:t>
      </w:r>
      <w:r>
        <w:rPr>
          <w:rFonts w:ascii="Times New Roman" w:hAnsi="Times New Roman" w:cs="Times New Roman"/>
          <w:sz w:val="24"/>
          <w:szCs w:val="24"/>
        </w:rPr>
        <w:t xml:space="preserve"> entre otros. Así mismo, se </w:t>
      </w:r>
      <w:r w:rsidRPr="00E3105B">
        <w:rPr>
          <w:rFonts w:ascii="Times New Roman" w:hAnsi="Times New Roman" w:cs="Times New Roman"/>
          <w:sz w:val="24"/>
          <w:szCs w:val="24"/>
        </w:rPr>
        <w:t xml:space="preserve">ha utilizado </w:t>
      </w:r>
      <w:r>
        <w:rPr>
          <w:rFonts w:ascii="Times New Roman" w:hAnsi="Times New Roman" w:cs="Times New Roman"/>
          <w:sz w:val="24"/>
          <w:szCs w:val="24"/>
        </w:rPr>
        <w:t xml:space="preserve">para evaluar a </w:t>
      </w:r>
      <w:r w:rsidRPr="00E3105B">
        <w:rPr>
          <w:rFonts w:ascii="Times New Roman" w:hAnsi="Times New Roman" w:cs="Times New Roman"/>
          <w:sz w:val="24"/>
          <w:szCs w:val="24"/>
        </w:rPr>
        <w:t>niños/as con diferentes tipos de afectaciones del sistema músculo esquelético: parálisis cerebral</w:t>
      </w:r>
      <w:r>
        <w:rPr>
          <w:rFonts w:ascii="Times New Roman" w:hAnsi="Times New Roman" w:cs="Times New Roman"/>
          <w:sz w:val="24"/>
          <w:szCs w:val="24"/>
          <w:vertAlign w:val="superscript"/>
        </w:rPr>
        <w:t>11,12</w:t>
      </w:r>
      <w:r w:rsidRPr="00E3105B">
        <w:rPr>
          <w:rFonts w:ascii="Times New Roman" w:hAnsi="Times New Roman" w:cs="Times New Roman"/>
          <w:sz w:val="24"/>
          <w:szCs w:val="24"/>
        </w:rPr>
        <w:t xml:space="preserve">, </w:t>
      </w:r>
      <w:r w:rsidRPr="00E3105B">
        <w:rPr>
          <w:rFonts w:ascii="Times New Roman" w:hAnsi="Times New Roman" w:cs="Times New Roman"/>
          <w:sz w:val="24"/>
          <w:szCs w:val="24"/>
        </w:rPr>
        <w:lastRenderedPageBreak/>
        <w:t>mielomeningocele</w:t>
      </w:r>
      <w:r>
        <w:rPr>
          <w:rFonts w:ascii="Times New Roman" w:hAnsi="Times New Roman" w:cs="Times New Roman"/>
          <w:sz w:val="24"/>
          <w:szCs w:val="24"/>
          <w:vertAlign w:val="superscript"/>
        </w:rPr>
        <w:t>13</w:t>
      </w:r>
      <w:r>
        <w:rPr>
          <w:rFonts w:ascii="Times New Roman" w:hAnsi="Times New Roman" w:cs="Times New Roman"/>
          <w:sz w:val="24"/>
          <w:szCs w:val="24"/>
        </w:rPr>
        <w:t>, d</w:t>
      </w:r>
      <w:r w:rsidRPr="00E3105B">
        <w:rPr>
          <w:rFonts w:ascii="Times New Roman" w:hAnsi="Times New Roman" w:cs="Times New Roman"/>
          <w:sz w:val="24"/>
          <w:szCs w:val="24"/>
        </w:rPr>
        <w:t>istrofia muscular</w:t>
      </w:r>
      <w:r>
        <w:rPr>
          <w:rFonts w:ascii="Times New Roman" w:hAnsi="Times New Roman" w:cs="Times New Roman"/>
          <w:sz w:val="24"/>
          <w:szCs w:val="24"/>
          <w:vertAlign w:val="superscript"/>
        </w:rPr>
        <w:t>14</w:t>
      </w:r>
      <w:r w:rsidRPr="00E3105B">
        <w:rPr>
          <w:rFonts w:ascii="Times New Roman" w:hAnsi="Times New Roman" w:cs="Times New Roman"/>
          <w:sz w:val="24"/>
          <w:szCs w:val="24"/>
        </w:rPr>
        <w:t>, artrogriposis</w:t>
      </w:r>
      <w:r>
        <w:rPr>
          <w:rFonts w:ascii="Times New Roman" w:hAnsi="Times New Roman" w:cs="Times New Roman"/>
          <w:sz w:val="24"/>
          <w:szCs w:val="24"/>
          <w:vertAlign w:val="superscript"/>
        </w:rPr>
        <w:t>15</w:t>
      </w:r>
      <w:r w:rsidRPr="00E3105B">
        <w:rPr>
          <w:rFonts w:ascii="Times New Roman" w:hAnsi="Times New Roman" w:cs="Times New Roman"/>
          <w:sz w:val="24"/>
          <w:szCs w:val="24"/>
        </w:rPr>
        <w:t>, tumores óseos</w:t>
      </w:r>
      <w:r>
        <w:rPr>
          <w:rFonts w:ascii="Times New Roman" w:hAnsi="Times New Roman" w:cs="Times New Roman"/>
          <w:sz w:val="24"/>
          <w:szCs w:val="24"/>
          <w:vertAlign w:val="superscript"/>
        </w:rPr>
        <w:t>16</w:t>
      </w:r>
      <w:r w:rsidRPr="00E3105B">
        <w:rPr>
          <w:rFonts w:ascii="Times New Roman" w:hAnsi="Times New Roman" w:cs="Times New Roman"/>
          <w:sz w:val="24"/>
          <w:szCs w:val="24"/>
        </w:rPr>
        <w:t>, hemofilia</w:t>
      </w:r>
      <w:r>
        <w:rPr>
          <w:rFonts w:ascii="Times New Roman" w:hAnsi="Times New Roman" w:cs="Times New Roman"/>
          <w:sz w:val="24"/>
          <w:szCs w:val="24"/>
          <w:vertAlign w:val="superscript"/>
        </w:rPr>
        <w:t>17</w:t>
      </w:r>
      <w:r w:rsidRPr="00E3105B">
        <w:rPr>
          <w:rFonts w:ascii="Times New Roman" w:hAnsi="Times New Roman" w:cs="Times New Roman"/>
          <w:sz w:val="24"/>
          <w:szCs w:val="24"/>
        </w:rPr>
        <w:t xml:space="preserve">, etc. </w:t>
      </w:r>
      <w:r w:rsidRPr="00E3105B">
        <w:rPr>
          <w:rFonts w:ascii="Times New Roman" w:hAnsi="Times New Roman" w:cs="Times New Roman"/>
          <w:noProof/>
          <w:sz w:val="24"/>
          <w:szCs w:val="24"/>
        </w:rPr>
        <w:t>Harvey</w:t>
      </w:r>
      <w:r w:rsidR="00673812">
        <w:rPr>
          <w:rFonts w:ascii="Times New Roman" w:hAnsi="Times New Roman" w:cs="Times New Roman"/>
          <w:noProof/>
          <w:sz w:val="24"/>
          <w:szCs w:val="24"/>
        </w:rPr>
        <w:t xml:space="preserve"> et al</w:t>
      </w:r>
      <w:r>
        <w:rPr>
          <w:rFonts w:ascii="Times New Roman" w:hAnsi="Times New Roman" w:cs="Times New Roman"/>
          <w:noProof/>
          <w:sz w:val="24"/>
          <w:szCs w:val="24"/>
          <w:vertAlign w:val="superscript"/>
        </w:rPr>
        <w:t>18</w:t>
      </w:r>
      <w:r w:rsidRPr="00E3105B">
        <w:rPr>
          <w:rFonts w:ascii="Times New Roman" w:hAnsi="Times New Roman" w:cs="Times New Roman"/>
          <w:sz w:val="24"/>
          <w:szCs w:val="24"/>
        </w:rPr>
        <w:t xml:space="preserve"> la identifican como una de las ocho herramientas más utilizadas para evaluar el desempeño en los niños con parálisis cerebral y Kleper</w:t>
      </w:r>
      <w:r>
        <w:rPr>
          <w:rFonts w:ascii="Times New Roman" w:hAnsi="Times New Roman" w:cs="Times New Roman"/>
          <w:sz w:val="24"/>
          <w:szCs w:val="24"/>
          <w:vertAlign w:val="superscript"/>
        </w:rPr>
        <w:t>19</w:t>
      </w:r>
      <w:r w:rsidRPr="00E3105B">
        <w:rPr>
          <w:rFonts w:ascii="Times New Roman" w:hAnsi="Times New Roman" w:cs="Times New Roman"/>
          <w:sz w:val="24"/>
          <w:szCs w:val="24"/>
        </w:rPr>
        <w:t xml:space="preserve"> la destaca dentro de las evaluaciones adecuadas para los niños con artritis juvenil. </w:t>
      </w:r>
    </w:p>
    <w:p w14:paraId="4FC4C255" w14:textId="4E37DB77" w:rsidR="003E7D2C" w:rsidRPr="00E3105B" w:rsidRDefault="003E7D2C" w:rsidP="005D360F">
      <w:pPr>
        <w:spacing w:before="120" w:after="120" w:line="360" w:lineRule="auto"/>
        <w:ind w:firstLine="426"/>
        <w:rPr>
          <w:rFonts w:ascii="Times New Roman" w:hAnsi="Times New Roman" w:cs="Times New Roman"/>
          <w:noProof/>
          <w:sz w:val="24"/>
          <w:szCs w:val="24"/>
        </w:rPr>
      </w:pPr>
      <w:r w:rsidRPr="00E3105B">
        <w:rPr>
          <w:rFonts w:ascii="Times New Roman" w:hAnsi="Times New Roman" w:cs="Times New Roman"/>
          <w:sz w:val="24"/>
          <w:szCs w:val="24"/>
        </w:rPr>
        <w:t>Sus valores psicométricos analizados le otorgan una</w:t>
      </w:r>
      <w:r w:rsidR="00BF3118">
        <w:rPr>
          <w:rFonts w:ascii="Times New Roman" w:hAnsi="Times New Roman" w:cs="Times New Roman"/>
          <w:sz w:val="24"/>
          <w:szCs w:val="24"/>
        </w:rPr>
        <w:t xml:space="preserve"> apropiada</w:t>
      </w:r>
      <w:r w:rsidRPr="00E3105B">
        <w:rPr>
          <w:rFonts w:ascii="Times New Roman" w:hAnsi="Times New Roman" w:cs="Times New Roman"/>
          <w:sz w:val="24"/>
          <w:szCs w:val="24"/>
        </w:rPr>
        <w:t xml:space="preserve"> fiabilidad test-</w:t>
      </w:r>
      <w:proofErr w:type="spellStart"/>
      <w:r w:rsidRPr="00E3105B">
        <w:rPr>
          <w:rFonts w:ascii="Times New Roman" w:hAnsi="Times New Roman" w:cs="Times New Roman"/>
          <w:sz w:val="24"/>
          <w:szCs w:val="24"/>
        </w:rPr>
        <w:t>retest</w:t>
      </w:r>
      <w:proofErr w:type="spellEnd"/>
      <w:r w:rsidRPr="00E3105B">
        <w:rPr>
          <w:rFonts w:ascii="Times New Roman" w:hAnsi="Times New Roman" w:cs="Times New Roman"/>
          <w:sz w:val="24"/>
          <w:szCs w:val="24"/>
        </w:rPr>
        <w:t xml:space="preserve"> (ICC=0.97) y </w:t>
      </w:r>
      <w:r>
        <w:rPr>
          <w:rFonts w:ascii="Times New Roman" w:hAnsi="Times New Roman" w:cs="Times New Roman"/>
          <w:sz w:val="24"/>
          <w:szCs w:val="24"/>
        </w:rPr>
        <w:t xml:space="preserve">fiabilidad </w:t>
      </w:r>
      <w:proofErr w:type="spellStart"/>
      <w:r>
        <w:rPr>
          <w:rFonts w:ascii="Times New Roman" w:hAnsi="Times New Roman" w:cs="Times New Roman"/>
          <w:sz w:val="24"/>
          <w:szCs w:val="24"/>
        </w:rPr>
        <w:t>interobservador</w:t>
      </w:r>
      <w:proofErr w:type="spellEnd"/>
      <w:r w:rsidR="00A26349">
        <w:rPr>
          <w:rFonts w:ascii="Times New Roman" w:hAnsi="Times New Roman" w:cs="Times New Roman"/>
          <w:sz w:val="24"/>
          <w:szCs w:val="24"/>
        </w:rPr>
        <w:t xml:space="preserve"> (concordancia entre las </w:t>
      </w:r>
      <w:r>
        <w:rPr>
          <w:rFonts w:ascii="Times New Roman" w:hAnsi="Times New Roman" w:cs="Times New Roman"/>
          <w:sz w:val="24"/>
          <w:szCs w:val="24"/>
        </w:rPr>
        <w:t xml:space="preserve">respuestas de </w:t>
      </w:r>
      <w:r w:rsidRPr="00E3105B">
        <w:rPr>
          <w:rFonts w:ascii="Times New Roman" w:hAnsi="Times New Roman" w:cs="Times New Roman"/>
          <w:sz w:val="24"/>
          <w:szCs w:val="24"/>
        </w:rPr>
        <w:t>niños y padres</w:t>
      </w:r>
      <w:r w:rsidR="00A26349">
        <w:rPr>
          <w:rFonts w:ascii="Times New Roman" w:hAnsi="Times New Roman" w:cs="Times New Roman"/>
          <w:sz w:val="24"/>
          <w:szCs w:val="24"/>
        </w:rPr>
        <w:t xml:space="preserve">: </w:t>
      </w:r>
      <w:r w:rsidRPr="00E3105B">
        <w:rPr>
          <w:rFonts w:ascii="Times New Roman" w:hAnsi="Times New Roman" w:cs="Times New Roman"/>
          <w:sz w:val="24"/>
          <w:szCs w:val="24"/>
        </w:rPr>
        <w:t xml:space="preserve">ICC=0.96), así como </w:t>
      </w:r>
      <w:r w:rsidR="00A26349">
        <w:rPr>
          <w:rFonts w:ascii="Times New Roman" w:hAnsi="Times New Roman" w:cs="Times New Roman"/>
          <w:sz w:val="24"/>
          <w:szCs w:val="24"/>
        </w:rPr>
        <w:t xml:space="preserve">una </w:t>
      </w:r>
      <w:r w:rsidRPr="00E3105B">
        <w:rPr>
          <w:rFonts w:ascii="Times New Roman" w:hAnsi="Times New Roman" w:cs="Times New Roman"/>
          <w:sz w:val="24"/>
          <w:szCs w:val="24"/>
        </w:rPr>
        <w:t>alta consisten</w:t>
      </w:r>
      <w:r>
        <w:rPr>
          <w:rFonts w:ascii="Times New Roman" w:hAnsi="Times New Roman" w:cs="Times New Roman"/>
          <w:sz w:val="24"/>
          <w:szCs w:val="24"/>
        </w:rPr>
        <w:t>cia interna (alfa de Cronbac</w:t>
      </w:r>
      <w:r w:rsidR="00A26349">
        <w:rPr>
          <w:rFonts w:ascii="Times New Roman" w:hAnsi="Times New Roman" w:cs="Times New Roman"/>
          <w:sz w:val="24"/>
          <w:szCs w:val="24"/>
        </w:rPr>
        <w:t>h</w:t>
      </w:r>
      <w:r>
        <w:rPr>
          <w:rFonts w:ascii="Times New Roman" w:hAnsi="Times New Roman" w:cs="Times New Roman"/>
          <w:sz w:val="24"/>
          <w:szCs w:val="24"/>
        </w:rPr>
        <w:t xml:space="preserve"> =</w:t>
      </w:r>
      <w:r w:rsidRPr="00E3105B">
        <w:rPr>
          <w:rFonts w:ascii="Times New Roman" w:hAnsi="Times New Roman" w:cs="Times New Roman"/>
          <w:sz w:val="24"/>
          <w:szCs w:val="24"/>
        </w:rPr>
        <w:t>0.99); igualmente presenta adecuada validez de contenido</w:t>
      </w:r>
      <w:r>
        <w:rPr>
          <w:rFonts w:ascii="Times New Roman" w:hAnsi="Times New Roman" w:cs="Times New Roman"/>
          <w:sz w:val="24"/>
          <w:szCs w:val="24"/>
          <w:vertAlign w:val="superscript"/>
        </w:rPr>
        <w:t>20</w:t>
      </w:r>
      <w:r w:rsidRPr="00E3105B">
        <w:rPr>
          <w:rFonts w:ascii="Times New Roman" w:hAnsi="Times New Roman" w:cs="Times New Roman"/>
          <w:sz w:val="24"/>
          <w:szCs w:val="24"/>
        </w:rPr>
        <w:t>. También</w:t>
      </w:r>
      <w:r>
        <w:rPr>
          <w:rFonts w:ascii="Times New Roman" w:hAnsi="Times New Roman" w:cs="Times New Roman"/>
          <w:sz w:val="24"/>
          <w:szCs w:val="24"/>
        </w:rPr>
        <w:t>,</w:t>
      </w:r>
      <w:r w:rsidRPr="00E3105B">
        <w:rPr>
          <w:rFonts w:ascii="Times New Roman" w:hAnsi="Times New Roman" w:cs="Times New Roman"/>
          <w:sz w:val="24"/>
          <w:szCs w:val="24"/>
        </w:rPr>
        <w:t xml:space="preserve"> han sido evaluadas la validez de constructo, de criterio, convergente y divergente</w:t>
      </w:r>
      <w:r>
        <w:rPr>
          <w:rFonts w:ascii="Times New Roman" w:hAnsi="Times New Roman" w:cs="Times New Roman"/>
          <w:sz w:val="24"/>
          <w:szCs w:val="24"/>
          <w:vertAlign w:val="superscript"/>
        </w:rPr>
        <w:t>20</w:t>
      </w:r>
      <w:r w:rsidRPr="00E3105B">
        <w:rPr>
          <w:rFonts w:ascii="Times New Roman" w:hAnsi="Times New Roman" w:cs="Times New Roman"/>
          <w:noProof/>
          <w:sz w:val="24"/>
          <w:szCs w:val="24"/>
        </w:rPr>
        <w:t xml:space="preserve">. </w:t>
      </w:r>
      <w:r>
        <w:rPr>
          <w:rFonts w:ascii="Times New Roman" w:hAnsi="Times New Roman" w:cs="Times New Roman"/>
          <w:noProof/>
          <w:sz w:val="24"/>
          <w:szCs w:val="24"/>
        </w:rPr>
        <w:t xml:space="preserve">Por su lado, </w:t>
      </w:r>
      <w:r w:rsidRPr="00E3105B">
        <w:rPr>
          <w:rFonts w:ascii="Times New Roman" w:hAnsi="Times New Roman" w:cs="Times New Roman"/>
          <w:noProof/>
          <w:sz w:val="24"/>
          <w:szCs w:val="24"/>
        </w:rPr>
        <w:t>Pencharz</w:t>
      </w:r>
      <w:r w:rsidR="00673812">
        <w:rPr>
          <w:rFonts w:ascii="Times New Roman" w:hAnsi="Times New Roman" w:cs="Times New Roman"/>
          <w:noProof/>
          <w:sz w:val="24"/>
          <w:szCs w:val="24"/>
        </w:rPr>
        <w:t xml:space="preserve"> et al</w:t>
      </w:r>
      <w:r>
        <w:rPr>
          <w:rFonts w:ascii="Times New Roman" w:hAnsi="Times New Roman" w:cs="Times New Roman"/>
          <w:noProof/>
          <w:sz w:val="24"/>
          <w:szCs w:val="24"/>
          <w:vertAlign w:val="superscript"/>
        </w:rPr>
        <w:t>21</w:t>
      </w:r>
      <w:r w:rsidRPr="00E3105B">
        <w:rPr>
          <w:rFonts w:ascii="Times New Roman" w:hAnsi="Times New Roman" w:cs="Times New Roman"/>
          <w:noProof/>
          <w:sz w:val="24"/>
          <w:szCs w:val="24"/>
        </w:rPr>
        <w:t xml:space="preserve"> determinaron una adecuada capacidad discriminativa de la herramienta.</w:t>
      </w:r>
    </w:p>
    <w:p w14:paraId="4A60161D" w14:textId="421DDEF6"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noProof/>
          <w:sz w:val="24"/>
          <w:szCs w:val="24"/>
        </w:rPr>
        <w:t>Por otra parte, el ASK ha sido traducido y validado en algunos idiomas</w:t>
      </w:r>
      <w:r w:rsidR="00A26349">
        <w:rPr>
          <w:rFonts w:ascii="Times New Roman" w:hAnsi="Times New Roman" w:cs="Times New Roman"/>
          <w:noProof/>
          <w:sz w:val="24"/>
          <w:szCs w:val="24"/>
        </w:rPr>
        <w:t xml:space="preserve"> como son</w:t>
      </w:r>
      <w:r w:rsidR="00D85FA6">
        <w:rPr>
          <w:rFonts w:ascii="Times New Roman" w:hAnsi="Times New Roman" w:cs="Times New Roman"/>
          <w:noProof/>
          <w:sz w:val="24"/>
          <w:szCs w:val="24"/>
        </w:rPr>
        <w:t xml:space="preserve"> </w:t>
      </w:r>
      <w:r w:rsidRPr="00E3105B">
        <w:rPr>
          <w:rFonts w:ascii="Times New Roman" w:hAnsi="Times New Roman" w:cs="Times New Roman"/>
          <w:noProof/>
          <w:sz w:val="24"/>
          <w:szCs w:val="24"/>
        </w:rPr>
        <w:t>al portugués</w:t>
      </w:r>
      <w:r>
        <w:rPr>
          <w:rFonts w:ascii="Times New Roman" w:hAnsi="Times New Roman" w:cs="Times New Roman"/>
          <w:noProof/>
          <w:sz w:val="24"/>
          <w:szCs w:val="24"/>
          <w:vertAlign w:val="superscript"/>
        </w:rPr>
        <w:t>22</w:t>
      </w:r>
      <w:r w:rsidRPr="00E3105B">
        <w:rPr>
          <w:rFonts w:ascii="Times New Roman" w:hAnsi="Times New Roman" w:cs="Times New Roman"/>
          <w:noProof/>
          <w:sz w:val="24"/>
          <w:szCs w:val="24"/>
        </w:rPr>
        <w:t xml:space="preserve">, </w:t>
      </w:r>
      <w:r>
        <w:rPr>
          <w:rFonts w:ascii="Times New Roman" w:hAnsi="Times New Roman" w:cs="Times New Roman"/>
          <w:noProof/>
          <w:sz w:val="24"/>
          <w:szCs w:val="24"/>
        </w:rPr>
        <w:t xml:space="preserve">al </w:t>
      </w:r>
      <w:r w:rsidRPr="00E3105B">
        <w:rPr>
          <w:rFonts w:ascii="Times New Roman" w:hAnsi="Times New Roman" w:cs="Times New Roman"/>
          <w:noProof/>
          <w:sz w:val="24"/>
          <w:szCs w:val="24"/>
        </w:rPr>
        <w:t>italiano</w:t>
      </w:r>
      <w:r>
        <w:rPr>
          <w:rFonts w:ascii="Times New Roman" w:hAnsi="Times New Roman" w:cs="Times New Roman"/>
          <w:noProof/>
          <w:sz w:val="24"/>
          <w:szCs w:val="24"/>
          <w:vertAlign w:val="superscript"/>
        </w:rPr>
        <w:t>23</w:t>
      </w:r>
      <w:r w:rsidRPr="00E3105B">
        <w:rPr>
          <w:rFonts w:ascii="Times New Roman" w:hAnsi="Times New Roman" w:cs="Times New Roman"/>
          <w:noProof/>
          <w:sz w:val="24"/>
          <w:szCs w:val="24"/>
        </w:rPr>
        <w:t xml:space="preserve"> y al chino</w:t>
      </w:r>
      <w:r>
        <w:rPr>
          <w:rFonts w:ascii="Times New Roman" w:hAnsi="Times New Roman" w:cs="Times New Roman"/>
          <w:noProof/>
          <w:sz w:val="24"/>
          <w:szCs w:val="24"/>
          <w:vertAlign w:val="superscript"/>
        </w:rPr>
        <w:t>24</w:t>
      </w:r>
      <w:r w:rsidR="00A26349">
        <w:rPr>
          <w:rFonts w:ascii="Times New Roman" w:hAnsi="Times New Roman" w:cs="Times New Roman"/>
          <w:noProof/>
          <w:sz w:val="24"/>
          <w:szCs w:val="24"/>
        </w:rPr>
        <w:t>, m</w:t>
      </w:r>
      <w:r>
        <w:rPr>
          <w:rFonts w:ascii="Times New Roman" w:hAnsi="Times New Roman" w:cs="Times New Roman"/>
          <w:noProof/>
          <w:sz w:val="24"/>
          <w:szCs w:val="24"/>
        </w:rPr>
        <w:t>anteniendo sus buenas condiciones psicométricas.</w:t>
      </w:r>
    </w:p>
    <w:p w14:paraId="633D2B34" w14:textId="77777777" w:rsidR="003E7D2C" w:rsidRPr="00E3105B" w:rsidRDefault="003E7D2C" w:rsidP="005D360F">
      <w:pPr>
        <w:spacing w:before="120" w:after="120" w:line="360" w:lineRule="auto"/>
        <w:ind w:firstLine="425"/>
        <w:rPr>
          <w:rFonts w:ascii="Times New Roman" w:hAnsi="Times New Roman" w:cs="Times New Roman"/>
          <w:sz w:val="24"/>
          <w:szCs w:val="24"/>
        </w:rPr>
      </w:pPr>
      <w:r>
        <w:rPr>
          <w:rFonts w:ascii="Times New Roman" w:hAnsi="Times New Roman" w:cs="Times New Roman"/>
          <w:sz w:val="24"/>
          <w:szCs w:val="24"/>
        </w:rPr>
        <w:t>Por todo ello</w:t>
      </w:r>
      <w:r w:rsidR="00A26349">
        <w:rPr>
          <w:rFonts w:ascii="Times New Roman" w:hAnsi="Times New Roman" w:cs="Times New Roman"/>
          <w:sz w:val="24"/>
          <w:szCs w:val="24"/>
        </w:rPr>
        <w:t>,</w:t>
      </w:r>
      <w:r>
        <w:rPr>
          <w:rFonts w:ascii="Times New Roman" w:hAnsi="Times New Roman" w:cs="Times New Roman"/>
          <w:sz w:val="24"/>
          <w:szCs w:val="24"/>
        </w:rPr>
        <w:t xml:space="preserve"> se ha considerado el ASK un instrumento idóneo para ser utilizado por la población española y en e</w:t>
      </w:r>
      <w:r w:rsidRPr="00E3105B">
        <w:rPr>
          <w:rFonts w:ascii="Times New Roman" w:hAnsi="Times New Roman" w:cs="Times New Roman"/>
          <w:sz w:val="24"/>
          <w:szCs w:val="24"/>
        </w:rPr>
        <w:t xml:space="preserve">l presente trabajo </w:t>
      </w:r>
      <w:r>
        <w:rPr>
          <w:rFonts w:ascii="Times New Roman" w:hAnsi="Times New Roman" w:cs="Times New Roman"/>
          <w:sz w:val="24"/>
          <w:szCs w:val="24"/>
        </w:rPr>
        <w:t xml:space="preserve">se </w:t>
      </w:r>
      <w:r w:rsidRPr="00E3105B">
        <w:rPr>
          <w:rFonts w:ascii="Times New Roman" w:hAnsi="Times New Roman" w:cs="Times New Roman"/>
          <w:sz w:val="24"/>
          <w:szCs w:val="24"/>
        </w:rPr>
        <w:t xml:space="preserve">recoge el proceso seguido en la traducción y validación lingüística y cultural del ASK en el contexto español. </w:t>
      </w:r>
    </w:p>
    <w:p w14:paraId="3CAF4D79" w14:textId="5E1C59D1" w:rsidR="003E7D2C" w:rsidRDefault="003E7D2C" w:rsidP="005D360F">
      <w:pPr>
        <w:spacing w:before="120" w:after="120" w:line="360" w:lineRule="auto"/>
        <w:ind w:firstLine="426"/>
        <w:rPr>
          <w:rFonts w:ascii="Times New Roman" w:hAnsi="Times New Roman" w:cs="Times New Roman"/>
          <w:sz w:val="24"/>
          <w:szCs w:val="24"/>
        </w:rPr>
      </w:pPr>
    </w:p>
    <w:p w14:paraId="2C3BDDCB" w14:textId="448002F2" w:rsidR="003E7D2C" w:rsidRPr="00E3105B" w:rsidRDefault="003E7D2C" w:rsidP="005D360F">
      <w:pPr>
        <w:spacing w:before="120" w:after="120" w:line="360" w:lineRule="auto"/>
        <w:rPr>
          <w:rFonts w:ascii="Times New Roman" w:hAnsi="Times New Roman" w:cs="Times New Roman"/>
          <w:b/>
          <w:sz w:val="24"/>
          <w:szCs w:val="24"/>
        </w:rPr>
      </w:pPr>
      <w:r w:rsidRPr="00E3105B">
        <w:rPr>
          <w:rFonts w:ascii="Times New Roman" w:hAnsi="Times New Roman" w:cs="Times New Roman"/>
          <w:b/>
          <w:sz w:val="24"/>
          <w:szCs w:val="24"/>
        </w:rPr>
        <w:t>2. M</w:t>
      </w:r>
      <w:r w:rsidR="00673812">
        <w:rPr>
          <w:rFonts w:ascii="Times New Roman" w:hAnsi="Times New Roman" w:cs="Times New Roman"/>
          <w:b/>
          <w:sz w:val="24"/>
          <w:szCs w:val="24"/>
        </w:rPr>
        <w:t>aterial y M</w:t>
      </w:r>
      <w:r w:rsidRPr="00E3105B">
        <w:rPr>
          <w:rFonts w:ascii="Times New Roman" w:hAnsi="Times New Roman" w:cs="Times New Roman"/>
          <w:b/>
          <w:sz w:val="24"/>
          <w:szCs w:val="24"/>
        </w:rPr>
        <w:t>étodo</w:t>
      </w:r>
    </w:p>
    <w:p w14:paraId="0FB88F7D" w14:textId="77777777" w:rsidR="003E7D2C" w:rsidRPr="00E3105B" w:rsidRDefault="003E7D2C" w:rsidP="005D360F">
      <w:pPr>
        <w:spacing w:before="120" w:after="120" w:line="360" w:lineRule="auto"/>
        <w:rPr>
          <w:rFonts w:ascii="Times New Roman" w:hAnsi="Times New Roman" w:cs="Times New Roman"/>
          <w:i/>
          <w:sz w:val="24"/>
          <w:szCs w:val="24"/>
        </w:rPr>
      </w:pPr>
      <w:r w:rsidRPr="00E3105B">
        <w:rPr>
          <w:rFonts w:ascii="Times New Roman" w:hAnsi="Times New Roman" w:cs="Times New Roman"/>
          <w:i/>
          <w:sz w:val="24"/>
          <w:szCs w:val="24"/>
        </w:rPr>
        <w:t>2.1. Procedimiento</w:t>
      </w:r>
    </w:p>
    <w:p w14:paraId="43C4B9CC" w14:textId="6322888B" w:rsidR="00117474" w:rsidRDefault="00117474" w:rsidP="005D360F">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Este trabajo cuenta con la aprobación del comité de la Universidad de </w:t>
      </w:r>
      <w:r w:rsidR="00673812">
        <w:rPr>
          <w:rFonts w:ascii="Times New Roman" w:hAnsi="Times New Roman" w:cs="Times New Roman"/>
          <w:sz w:val="24"/>
          <w:szCs w:val="24"/>
        </w:rPr>
        <w:t>Burgos, lugar dónde se realizó el estudio.</w:t>
      </w:r>
    </w:p>
    <w:p w14:paraId="3665609D" w14:textId="1E7F1C68"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Para el proceso de traducción de la escala ASK original se siguieron</w:t>
      </w:r>
      <w:r w:rsidR="0092723B">
        <w:rPr>
          <w:rFonts w:ascii="Times New Roman" w:hAnsi="Times New Roman" w:cs="Times New Roman"/>
          <w:sz w:val="24"/>
          <w:szCs w:val="24"/>
        </w:rPr>
        <w:t xml:space="preserve"> las directrices tanto de Cardoso Ribeiro et al</w:t>
      </w:r>
      <w:r w:rsidR="0092723B">
        <w:rPr>
          <w:rFonts w:ascii="Times New Roman" w:hAnsi="Times New Roman" w:cs="Times New Roman"/>
          <w:sz w:val="24"/>
          <w:szCs w:val="24"/>
          <w:vertAlign w:val="superscript"/>
        </w:rPr>
        <w:t>25</w:t>
      </w:r>
      <w:r w:rsidR="0092723B">
        <w:rPr>
          <w:rFonts w:ascii="Times New Roman" w:hAnsi="Times New Roman" w:cs="Times New Roman"/>
          <w:sz w:val="24"/>
          <w:szCs w:val="24"/>
        </w:rPr>
        <w:t>, como las</w:t>
      </w:r>
      <w:r w:rsidRPr="00E3105B">
        <w:rPr>
          <w:rFonts w:ascii="Times New Roman" w:hAnsi="Times New Roman" w:cs="Times New Roman"/>
          <w:sz w:val="24"/>
          <w:szCs w:val="24"/>
        </w:rPr>
        <w:t xml:space="preserve"> de Wild y colaboradores</w:t>
      </w:r>
      <w:r>
        <w:rPr>
          <w:rFonts w:ascii="Times New Roman" w:hAnsi="Times New Roman" w:cs="Times New Roman"/>
          <w:sz w:val="24"/>
          <w:szCs w:val="24"/>
          <w:vertAlign w:val="superscript"/>
        </w:rPr>
        <w:t>2</w:t>
      </w:r>
      <w:r w:rsidR="0092723B">
        <w:rPr>
          <w:rFonts w:ascii="Times New Roman" w:hAnsi="Times New Roman" w:cs="Times New Roman"/>
          <w:sz w:val="24"/>
          <w:szCs w:val="24"/>
          <w:vertAlign w:val="superscript"/>
        </w:rPr>
        <w:t>6</w:t>
      </w:r>
      <w:r w:rsidRPr="00E3105B">
        <w:rPr>
          <w:rFonts w:ascii="Times New Roman" w:hAnsi="Times New Roman" w:cs="Times New Roman"/>
          <w:sz w:val="24"/>
          <w:szCs w:val="24"/>
        </w:rPr>
        <w:t xml:space="preserve"> que incluye varias fases: preparación, traducción, retro-traducción, revisión de </w:t>
      </w:r>
      <w:r w:rsidR="00902628">
        <w:rPr>
          <w:rFonts w:ascii="Times New Roman" w:hAnsi="Times New Roman" w:cs="Times New Roman"/>
          <w:sz w:val="24"/>
          <w:szCs w:val="24"/>
        </w:rPr>
        <w:t>l</w:t>
      </w:r>
      <w:r w:rsidRPr="00E3105B">
        <w:rPr>
          <w:rFonts w:ascii="Times New Roman" w:hAnsi="Times New Roman" w:cs="Times New Roman"/>
          <w:sz w:val="24"/>
          <w:szCs w:val="24"/>
        </w:rPr>
        <w:t>a retro-traducción, armonización, prueba piloto, revisión de la prueba piloto e informe final.</w:t>
      </w:r>
      <w:r>
        <w:rPr>
          <w:rFonts w:ascii="Times New Roman" w:hAnsi="Times New Roman" w:cs="Times New Roman"/>
          <w:sz w:val="24"/>
          <w:szCs w:val="24"/>
        </w:rPr>
        <w:t xml:space="preserve"> </w:t>
      </w:r>
      <w:r w:rsidR="00EF297D" w:rsidRPr="00E25A9A">
        <w:rPr>
          <w:rFonts w:ascii="Times New Roman" w:hAnsi="Times New Roman" w:cs="Times New Roman"/>
          <w:sz w:val="24"/>
          <w:szCs w:val="24"/>
        </w:rPr>
        <w:t>Además,</w:t>
      </w:r>
      <w:r w:rsidRPr="00E25A9A">
        <w:rPr>
          <w:rFonts w:ascii="Times New Roman" w:hAnsi="Times New Roman" w:cs="Times New Roman"/>
          <w:sz w:val="24"/>
          <w:szCs w:val="24"/>
        </w:rPr>
        <w:t xml:space="preserve"> se siguieron las recomendaciones COSMIN para el proceso de validación cultural</w:t>
      </w:r>
      <w:r>
        <w:rPr>
          <w:rFonts w:ascii="Times New Roman" w:hAnsi="Times New Roman" w:cs="Times New Roman"/>
          <w:sz w:val="24"/>
          <w:szCs w:val="24"/>
          <w:vertAlign w:val="superscript"/>
        </w:rPr>
        <w:t>2</w:t>
      </w:r>
      <w:r w:rsidR="0092723B">
        <w:rPr>
          <w:rFonts w:ascii="Times New Roman" w:hAnsi="Times New Roman" w:cs="Times New Roman"/>
          <w:sz w:val="24"/>
          <w:szCs w:val="24"/>
          <w:vertAlign w:val="superscript"/>
        </w:rPr>
        <w:t>7</w:t>
      </w:r>
      <w:r>
        <w:rPr>
          <w:rFonts w:ascii="Times New Roman" w:hAnsi="Times New Roman" w:cs="Times New Roman"/>
          <w:sz w:val="24"/>
          <w:szCs w:val="24"/>
        </w:rPr>
        <w:t>.</w:t>
      </w:r>
    </w:p>
    <w:p w14:paraId="6A383555" w14:textId="21E6A008"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Tras obtener el permiso de traducción por los poseedores del copyright (fase de preparación), </w:t>
      </w:r>
      <w:r w:rsidR="00902628">
        <w:rPr>
          <w:rFonts w:ascii="Times New Roman" w:hAnsi="Times New Roman" w:cs="Times New Roman"/>
          <w:sz w:val="24"/>
          <w:szCs w:val="24"/>
        </w:rPr>
        <w:t>é</w:t>
      </w:r>
      <w:r w:rsidRPr="00E3105B">
        <w:rPr>
          <w:rFonts w:ascii="Times New Roman" w:hAnsi="Times New Roman" w:cs="Times New Roman"/>
          <w:sz w:val="24"/>
          <w:szCs w:val="24"/>
        </w:rPr>
        <w:t xml:space="preserve">sta fue realizada por un clínico con </w:t>
      </w:r>
      <w:r>
        <w:rPr>
          <w:rFonts w:ascii="Times New Roman" w:hAnsi="Times New Roman" w:cs="Times New Roman"/>
          <w:sz w:val="24"/>
          <w:szCs w:val="24"/>
        </w:rPr>
        <w:t xml:space="preserve">15 años de </w:t>
      </w:r>
      <w:r w:rsidRPr="00E3105B">
        <w:rPr>
          <w:rFonts w:ascii="Times New Roman" w:hAnsi="Times New Roman" w:cs="Times New Roman"/>
          <w:sz w:val="24"/>
          <w:szCs w:val="24"/>
        </w:rPr>
        <w:t xml:space="preserve">experiencia </w:t>
      </w:r>
      <w:r>
        <w:rPr>
          <w:rFonts w:ascii="Times New Roman" w:hAnsi="Times New Roman" w:cs="Times New Roman"/>
          <w:sz w:val="24"/>
          <w:szCs w:val="24"/>
        </w:rPr>
        <w:t>trabajando en el ámbito de</w:t>
      </w:r>
      <w:r w:rsidRPr="00E3105B">
        <w:rPr>
          <w:rFonts w:ascii="Times New Roman" w:hAnsi="Times New Roman" w:cs="Times New Roman"/>
          <w:sz w:val="24"/>
          <w:szCs w:val="24"/>
        </w:rPr>
        <w:t xml:space="preserve"> la discapacidad infantil y con </w:t>
      </w:r>
      <w:r>
        <w:rPr>
          <w:rFonts w:ascii="Times New Roman" w:hAnsi="Times New Roman" w:cs="Times New Roman"/>
          <w:sz w:val="24"/>
          <w:szCs w:val="24"/>
        </w:rPr>
        <w:t>una competencia lingüística en inglés acreditada, cuya lengua materna era el castellano</w:t>
      </w:r>
      <w:r w:rsidRPr="00E3105B">
        <w:rPr>
          <w:rFonts w:ascii="Times New Roman" w:hAnsi="Times New Roman" w:cs="Times New Roman"/>
          <w:sz w:val="24"/>
          <w:szCs w:val="24"/>
        </w:rPr>
        <w:t>. La retro</w:t>
      </w:r>
      <w:r>
        <w:rPr>
          <w:rFonts w:ascii="Times New Roman" w:hAnsi="Times New Roman" w:cs="Times New Roman"/>
          <w:sz w:val="24"/>
          <w:szCs w:val="24"/>
        </w:rPr>
        <w:t>-</w:t>
      </w:r>
      <w:r w:rsidRPr="00E3105B">
        <w:rPr>
          <w:rFonts w:ascii="Times New Roman" w:hAnsi="Times New Roman" w:cs="Times New Roman"/>
          <w:sz w:val="24"/>
          <w:szCs w:val="24"/>
        </w:rPr>
        <w:t>traducción estuvo a cargo de un nativo</w:t>
      </w:r>
      <w:r>
        <w:rPr>
          <w:rFonts w:ascii="Times New Roman" w:hAnsi="Times New Roman" w:cs="Times New Roman"/>
          <w:sz w:val="24"/>
          <w:szCs w:val="24"/>
        </w:rPr>
        <w:t xml:space="preserve"> en lengua inglesa,</w:t>
      </w:r>
      <w:r w:rsidRPr="00E3105B">
        <w:rPr>
          <w:rFonts w:ascii="Times New Roman" w:hAnsi="Times New Roman" w:cs="Times New Roman"/>
          <w:sz w:val="24"/>
          <w:szCs w:val="24"/>
        </w:rPr>
        <w:t xml:space="preserve"> </w:t>
      </w:r>
      <w:r>
        <w:rPr>
          <w:rFonts w:ascii="Times New Roman" w:hAnsi="Times New Roman" w:cs="Times New Roman"/>
          <w:sz w:val="24"/>
          <w:szCs w:val="24"/>
        </w:rPr>
        <w:t>traductor profesional</w:t>
      </w:r>
      <w:r w:rsidRPr="00E3105B">
        <w:rPr>
          <w:rFonts w:ascii="Times New Roman" w:hAnsi="Times New Roman" w:cs="Times New Roman"/>
          <w:sz w:val="24"/>
          <w:szCs w:val="24"/>
        </w:rPr>
        <w:t xml:space="preserve"> y residente en España. </w:t>
      </w:r>
      <w:r>
        <w:rPr>
          <w:rFonts w:ascii="Times New Roman" w:hAnsi="Times New Roman" w:cs="Times New Roman"/>
          <w:sz w:val="24"/>
          <w:szCs w:val="24"/>
        </w:rPr>
        <w:t xml:space="preserve">La persona </w:t>
      </w:r>
      <w:r>
        <w:rPr>
          <w:rFonts w:ascii="Times New Roman" w:hAnsi="Times New Roman" w:cs="Times New Roman"/>
          <w:sz w:val="24"/>
          <w:szCs w:val="24"/>
        </w:rPr>
        <w:lastRenderedPageBreak/>
        <w:t xml:space="preserve">encargada de la retro-traducción desconocía la versión original, a la que tuvo acceso únicamente en el proceso de comparación de ambas versiones. </w:t>
      </w:r>
      <w:r w:rsidRPr="00E3105B">
        <w:rPr>
          <w:rFonts w:ascii="Times New Roman" w:hAnsi="Times New Roman" w:cs="Times New Roman"/>
          <w:sz w:val="24"/>
          <w:szCs w:val="24"/>
        </w:rPr>
        <w:t>Tras la revisión de la retro-traducción</w:t>
      </w:r>
      <w:r>
        <w:rPr>
          <w:rFonts w:ascii="Times New Roman" w:hAnsi="Times New Roman" w:cs="Times New Roman"/>
          <w:sz w:val="24"/>
          <w:szCs w:val="24"/>
        </w:rPr>
        <w:t xml:space="preserve"> y su comparación con la versión original</w:t>
      </w:r>
      <w:r w:rsidRPr="00E3105B">
        <w:rPr>
          <w:rFonts w:ascii="Times New Roman" w:hAnsi="Times New Roman" w:cs="Times New Roman"/>
          <w:sz w:val="24"/>
          <w:szCs w:val="24"/>
        </w:rPr>
        <w:t xml:space="preserve">, </w:t>
      </w:r>
      <w:r w:rsidR="00F719F3">
        <w:rPr>
          <w:rFonts w:ascii="Times New Roman" w:hAnsi="Times New Roman" w:cs="Times New Roman"/>
          <w:sz w:val="24"/>
          <w:szCs w:val="24"/>
        </w:rPr>
        <w:t xml:space="preserve">se </w:t>
      </w:r>
      <w:r w:rsidR="00FF62A4">
        <w:rPr>
          <w:rFonts w:ascii="Times New Roman" w:hAnsi="Times New Roman" w:cs="Times New Roman"/>
          <w:sz w:val="24"/>
          <w:szCs w:val="24"/>
        </w:rPr>
        <w:t xml:space="preserve">procedió a revisar tanto las estructuras gramaticales como el estilo, para lo que se contó con la participación de </w:t>
      </w:r>
      <w:r w:rsidR="00F719F3">
        <w:rPr>
          <w:rFonts w:ascii="Times New Roman" w:hAnsi="Times New Roman" w:cs="Times New Roman"/>
          <w:sz w:val="24"/>
          <w:szCs w:val="24"/>
        </w:rPr>
        <w:t xml:space="preserve">un </w:t>
      </w:r>
      <w:r w:rsidRPr="00E3105B">
        <w:rPr>
          <w:rFonts w:ascii="Times New Roman" w:hAnsi="Times New Roman" w:cs="Times New Roman"/>
          <w:sz w:val="24"/>
          <w:szCs w:val="24"/>
        </w:rPr>
        <w:t>licenciado en filología española</w:t>
      </w:r>
      <w:r w:rsidR="00FF62A4">
        <w:rPr>
          <w:rFonts w:ascii="Times New Roman" w:hAnsi="Times New Roman" w:cs="Times New Roman"/>
          <w:sz w:val="24"/>
          <w:szCs w:val="24"/>
        </w:rPr>
        <w:t xml:space="preserve"> en este</w:t>
      </w:r>
      <w:r w:rsidR="00F719F3">
        <w:rPr>
          <w:rFonts w:ascii="Times New Roman" w:hAnsi="Times New Roman" w:cs="Times New Roman"/>
          <w:sz w:val="24"/>
          <w:szCs w:val="24"/>
        </w:rPr>
        <w:t xml:space="preserve"> proceso de arm</w:t>
      </w:r>
      <w:r w:rsidR="00902628">
        <w:rPr>
          <w:rFonts w:ascii="Times New Roman" w:hAnsi="Times New Roman" w:cs="Times New Roman"/>
          <w:sz w:val="24"/>
          <w:szCs w:val="24"/>
        </w:rPr>
        <w:t>onización</w:t>
      </w:r>
      <w:r w:rsidR="00F719F3">
        <w:rPr>
          <w:rFonts w:ascii="Times New Roman" w:hAnsi="Times New Roman" w:cs="Times New Roman"/>
          <w:sz w:val="24"/>
          <w:szCs w:val="24"/>
        </w:rPr>
        <w:t>. En esta fase final, el licenciado en filología española, detectó</w:t>
      </w:r>
      <w:r w:rsidRPr="00E3105B">
        <w:rPr>
          <w:rFonts w:ascii="Times New Roman" w:hAnsi="Times New Roman" w:cs="Times New Roman"/>
          <w:sz w:val="24"/>
          <w:szCs w:val="24"/>
        </w:rPr>
        <w:t xml:space="preserve"> algunos ítems con pequeños errore</w:t>
      </w:r>
      <w:r>
        <w:rPr>
          <w:rFonts w:ascii="Times New Roman" w:hAnsi="Times New Roman" w:cs="Times New Roman"/>
          <w:sz w:val="24"/>
          <w:szCs w:val="24"/>
        </w:rPr>
        <w:t>s de tipo gramatical que</w:t>
      </w:r>
      <w:r w:rsidR="00F719F3">
        <w:rPr>
          <w:rFonts w:ascii="Times New Roman" w:hAnsi="Times New Roman" w:cs="Times New Roman"/>
          <w:sz w:val="24"/>
          <w:szCs w:val="24"/>
        </w:rPr>
        <w:t xml:space="preserve"> fueron corregidos.</w:t>
      </w:r>
    </w:p>
    <w:p w14:paraId="0962F6F7" w14:textId="2FA8CFA0"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Para completar el proceso de adaptación cultural se realizó una prueba piloto</w:t>
      </w:r>
      <w:r>
        <w:rPr>
          <w:rFonts w:ascii="Times New Roman" w:hAnsi="Times New Roman" w:cs="Times New Roman"/>
          <w:sz w:val="24"/>
          <w:szCs w:val="24"/>
        </w:rPr>
        <w:t xml:space="preserve">. En ella participaron </w:t>
      </w:r>
      <w:r w:rsidR="00BF3118">
        <w:rPr>
          <w:rFonts w:ascii="Times New Roman" w:hAnsi="Times New Roman" w:cs="Times New Roman"/>
          <w:sz w:val="24"/>
          <w:szCs w:val="24"/>
        </w:rPr>
        <w:t>tres</w:t>
      </w:r>
      <w:r>
        <w:rPr>
          <w:rFonts w:ascii="Times New Roman" w:hAnsi="Times New Roman" w:cs="Times New Roman"/>
          <w:sz w:val="24"/>
          <w:szCs w:val="24"/>
        </w:rPr>
        <w:t xml:space="preserve"> grupos: el primero formado por niños y niñas con discapacidad física</w:t>
      </w:r>
      <w:r w:rsidR="00BF3118">
        <w:rPr>
          <w:rFonts w:ascii="Times New Roman" w:hAnsi="Times New Roman" w:cs="Times New Roman"/>
          <w:sz w:val="24"/>
          <w:szCs w:val="24"/>
        </w:rPr>
        <w:t>, el segundo por</w:t>
      </w:r>
      <w:r>
        <w:rPr>
          <w:rFonts w:ascii="Times New Roman" w:hAnsi="Times New Roman" w:cs="Times New Roman"/>
          <w:sz w:val="24"/>
          <w:szCs w:val="24"/>
        </w:rPr>
        <w:t xml:space="preserve"> </w:t>
      </w:r>
      <w:r w:rsidRPr="00E3105B">
        <w:rPr>
          <w:rFonts w:ascii="Times New Roman" w:hAnsi="Times New Roman" w:cs="Times New Roman"/>
          <w:sz w:val="24"/>
          <w:szCs w:val="24"/>
        </w:rPr>
        <w:t>sus padres o tutores legales</w:t>
      </w:r>
      <w:r>
        <w:rPr>
          <w:rFonts w:ascii="Times New Roman" w:hAnsi="Times New Roman" w:cs="Times New Roman"/>
          <w:sz w:val="24"/>
          <w:szCs w:val="24"/>
        </w:rPr>
        <w:t xml:space="preserve">; </w:t>
      </w:r>
      <w:r w:rsidR="00BF3118">
        <w:rPr>
          <w:rFonts w:ascii="Times New Roman" w:hAnsi="Times New Roman" w:cs="Times New Roman"/>
          <w:sz w:val="24"/>
          <w:szCs w:val="24"/>
        </w:rPr>
        <w:t>y un tercero</w:t>
      </w:r>
      <w:r>
        <w:rPr>
          <w:rFonts w:ascii="Times New Roman" w:hAnsi="Times New Roman" w:cs="Times New Roman"/>
          <w:sz w:val="24"/>
          <w:szCs w:val="24"/>
        </w:rPr>
        <w:t xml:space="preserve"> constituido por</w:t>
      </w:r>
      <w:r w:rsidRPr="00E3105B">
        <w:rPr>
          <w:rFonts w:ascii="Times New Roman" w:hAnsi="Times New Roman" w:cs="Times New Roman"/>
          <w:sz w:val="24"/>
          <w:szCs w:val="24"/>
        </w:rPr>
        <w:t xml:space="preserve"> profesionales</w:t>
      </w:r>
      <w:r>
        <w:rPr>
          <w:rFonts w:ascii="Times New Roman" w:hAnsi="Times New Roman" w:cs="Times New Roman"/>
          <w:sz w:val="24"/>
          <w:szCs w:val="24"/>
        </w:rPr>
        <w:t xml:space="preserve"> del ámbito de la salud (terapeutas ocupacionales y fisioterapeutas) con experiencia en la atención de niños y adolescentes con discapacidad</w:t>
      </w:r>
      <w:r w:rsidR="004950D9">
        <w:rPr>
          <w:rFonts w:ascii="Times New Roman" w:hAnsi="Times New Roman" w:cs="Times New Roman"/>
          <w:sz w:val="24"/>
          <w:szCs w:val="24"/>
        </w:rPr>
        <w:t>. Todos firmaron el correspondiente consentimiento informado</w:t>
      </w:r>
      <w:r>
        <w:rPr>
          <w:rFonts w:ascii="Times New Roman" w:hAnsi="Times New Roman" w:cs="Times New Roman"/>
          <w:sz w:val="24"/>
          <w:szCs w:val="24"/>
        </w:rPr>
        <w:t>.</w:t>
      </w:r>
      <w:r w:rsidRPr="00E3105B">
        <w:rPr>
          <w:rFonts w:ascii="Times New Roman" w:hAnsi="Times New Roman" w:cs="Times New Roman"/>
          <w:sz w:val="24"/>
          <w:szCs w:val="24"/>
        </w:rPr>
        <w:t xml:space="preserve"> A todos ellos</w:t>
      </w:r>
      <w:r>
        <w:rPr>
          <w:rFonts w:ascii="Times New Roman" w:hAnsi="Times New Roman" w:cs="Times New Roman"/>
          <w:sz w:val="24"/>
          <w:szCs w:val="24"/>
        </w:rPr>
        <w:t>,</w:t>
      </w:r>
      <w:r w:rsidRPr="00E3105B">
        <w:rPr>
          <w:rFonts w:ascii="Times New Roman" w:hAnsi="Times New Roman" w:cs="Times New Roman"/>
          <w:sz w:val="24"/>
          <w:szCs w:val="24"/>
        </w:rPr>
        <w:t xml:space="preserve"> se les pidió que </w:t>
      </w:r>
      <w:r>
        <w:rPr>
          <w:rFonts w:ascii="Times New Roman" w:hAnsi="Times New Roman" w:cs="Times New Roman"/>
          <w:sz w:val="24"/>
          <w:szCs w:val="24"/>
        </w:rPr>
        <w:t>tras la lectura detenida de ambos cuestionarios del ASK</w:t>
      </w:r>
      <w:r w:rsidRPr="00E3105B">
        <w:rPr>
          <w:rFonts w:ascii="Times New Roman" w:hAnsi="Times New Roman" w:cs="Times New Roman"/>
          <w:sz w:val="24"/>
          <w:szCs w:val="24"/>
        </w:rPr>
        <w:t xml:space="preserve"> registrasen todas aquellas cuestiones que les resultaban co</w:t>
      </w:r>
      <w:r>
        <w:rPr>
          <w:rFonts w:ascii="Times New Roman" w:hAnsi="Times New Roman" w:cs="Times New Roman"/>
          <w:sz w:val="24"/>
          <w:szCs w:val="24"/>
        </w:rPr>
        <w:t>nfusas o difíciles de entender y</w:t>
      </w:r>
      <w:r w:rsidRPr="00E3105B">
        <w:rPr>
          <w:rFonts w:ascii="Times New Roman" w:hAnsi="Times New Roman" w:cs="Times New Roman"/>
          <w:sz w:val="24"/>
          <w:szCs w:val="24"/>
        </w:rPr>
        <w:t xml:space="preserve"> que señalasen aquellos términos o actividades que no les resultan </w:t>
      </w:r>
      <w:r>
        <w:rPr>
          <w:rFonts w:ascii="Times New Roman" w:hAnsi="Times New Roman" w:cs="Times New Roman"/>
          <w:sz w:val="24"/>
          <w:szCs w:val="24"/>
        </w:rPr>
        <w:t>relevantes en su vida cotidiana</w:t>
      </w:r>
      <w:r w:rsidRPr="00E3105B">
        <w:rPr>
          <w:rFonts w:ascii="Times New Roman" w:hAnsi="Times New Roman" w:cs="Times New Roman"/>
          <w:sz w:val="24"/>
          <w:szCs w:val="24"/>
        </w:rPr>
        <w:t xml:space="preserve"> y</w:t>
      </w:r>
      <w:r>
        <w:rPr>
          <w:rFonts w:ascii="Times New Roman" w:hAnsi="Times New Roman" w:cs="Times New Roman"/>
          <w:sz w:val="24"/>
          <w:szCs w:val="24"/>
        </w:rPr>
        <w:t>,</w:t>
      </w:r>
      <w:r w:rsidRPr="00E3105B">
        <w:rPr>
          <w:rFonts w:ascii="Times New Roman" w:hAnsi="Times New Roman" w:cs="Times New Roman"/>
          <w:sz w:val="24"/>
          <w:szCs w:val="24"/>
        </w:rPr>
        <w:t xml:space="preserve"> que </w:t>
      </w:r>
      <w:r w:rsidR="00D85FA6">
        <w:rPr>
          <w:rFonts w:ascii="Times New Roman" w:hAnsi="Times New Roman" w:cs="Times New Roman"/>
          <w:sz w:val="24"/>
          <w:szCs w:val="24"/>
        </w:rPr>
        <w:t>aportara</w:t>
      </w:r>
      <w:r>
        <w:rPr>
          <w:rFonts w:ascii="Times New Roman" w:hAnsi="Times New Roman" w:cs="Times New Roman"/>
          <w:sz w:val="24"/>
          <w:szCs w:val="24"/>
        </w:rPr>
        <w:t xml:space="preserve">n cualquier propuesta que pudiera </w:t>
      </w:r>
      <w:r w:rsidRPr="00E3105B">
        <w:rPr>
          <w:rFonts w:ascii="Times New Roman" w:hAnsi="Times New Roman" w:cs="Times New Roman"/>
          <w:sz w:val="24"/>
          <w:szCs w:val="24"/>
        </w:rPr>
        <w:t>ayudar a mejorar la herramienta, tanto en su redacción como en los elementos que presenta.</w:t>
      </w:r>
    </w:p>
    <w:p w14:paraId="34A92996" w14:textId="458188C1"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La revisión de la prueba final y la redacción del informe fue llevada a cabo por </w:t>
      </w:r>
      <w:r>
        <w:rPr>
          <w:rFonts w:ascii="Times New Roman" w:hAnsi="Times New Roman" w:cs="Times New Roman"/>
          <w:sz w:val="24"/>
          <w:szCs w:val="24"/>
        </w:rPr>
        <w:t xml:space="preserve">un comité compuesto por </w:t>
      </w:r>
      <w:r w:rsidRPr="00E3105B">
        <w:rPr>
          <w:rFonts w:ascii="Times New Roman" w:hAnsi="Times New Roman" w:cs="Times New Roman"/>
          <w:sz w:val="24"/>
          <w:szCs w:val="24"/>
        </w:rPr>
        <w:t>tres profesores universitarios con experiencia en la adaptación transcultural de herramientas. En esta fase se ha llevado a cabo la evaluación de la equivalencia cultural a través de la clasificación seguida por Grau</w:t>
      </w:r>
      <w:r w:rsidRPr="00E3105B">
        <w:rPr>
          <w:rFonts w:ascii="Times New Roman" w:hAnsi="Times New Roman" w:cs="Times New Roman"/>
          <w:noProof/>
          <w:sz w:val="24"/>
          <w:szCs w:val="24"/>
        </w:rPr>
        <w:t>, Eiroa, y Cayuela</w:t>
      </w:r>
      <w:r>
        <w:rPr>
          <w:rFonts w:ascii="Times New Roman" w:hAnsi="Times New Roman" w:cs="Times New Roman"/>
          <w:noProof/>
          <w:sz w:val="24"/>
          <w:szCs w:val="24"/>
          <w:vertAlign w:val="superscript"/>
        </w:rPr>
        <w:t>2</w:t>
      </w:r>
      <w:r w:rsidR="0092723B">
        <w:rPr>
          <w:rFonts w:ascii="Times New Roman" w:hAnsi="Times New Roman" w:cs="Times New Roman"/>
          <w:noProof/>
          <w:sz w:val="24"/>
          <w:szCs w:val="24"/>
          <w:vertAlign w:val="superscript"/>
        </w:rPr>
        <w:t>8</w:t>
      </w:r>
      <w:r w:rsidRPr="00E3105B">
        <w:rPr>
          <w:rFonts w:ascii="Times New Roman" w:hAnsi="Times New Roman" w:cs="Times New Roman"/>
          <w:noProof/>
          <w:sz w:val="24"/>
          <w:szCs w:val="24"/>
        </w:rPr>
        <w:t xml:space="preserve"> </w:t>
      </w:r>
      <w:r w:rsidRPr="00E3105B">
        <w:rPr>
          <w:rFonts w:ascii="Times New Roman" w:hAnsi="Times New Roman" w:cs="Times New Roman"/>
          <w:sz w:val="24"/>
          <w:szCs w:val="24"/>
        </w:rPr>
        <w:t>y Robles-Pérez de Azpillaga et al.</w:t>
      </w:r>
      <w:r>
        <w:rPr>
          <w:rFonts w:ascii="Times New Roman" w:hAnsi="Times New Roman" w:cs="Times New Roman"/>
          <w:sz w:val="24"/>
          <w:szCs w:val="24"/>
          <w:vertAlign w:val="superscript"/>
        </w:rPr>
        <w:t>2</w:t>
      </w:r>
      <w:r w:rsidR="0092723B">
        <w:rPr>
          <w:rFonts w:ascii="Times New Roman" w:hAnsi="Times New Roman" w:cs="Times New Roman"/>
          <w:sz w:val="24"/>
          <w:szCs w:val="24"/>
          <w:vertAlign w:val="superscript"/>
        </w:rPr>
        <w:t>9</w:t>
      </w:r>
      <w:r w:rsidRPr="00E3105B">
        <w:rPr>
          <w:rFonts w:ascii="Times New Roman" w:hAnsi="Times New Roman" w:cs="Times New Roman"/>
          <w:sz w:val="24"/>
          <w:szCs w:val="24"/>
        </w:rPr>
        <w:t xml:space="preserve"> en sus respectivos trabajos de adaptaciones transculturales.</w:t>
      </w:r>
    </w:p>
    <w:p w14:paraId="58AD40BF" w14:textId="77777777" w:rsidR="003E7D2C" w:rsidRPr="00E3105B" w:rsidRDefault="003E7D2C" w:rsidP="005D360F">
      <w:pPr>
        <w:spacing w:before="120" w:after="120" w:line="360" w:lineRule="auto"/>
        <w:rPr>
          <w:rFonts w:ascii="Times New Roman" w:hAnsi="Times New Roman" w:cs="Times New Roman"/>
          <w:sz w:val="24"/>
          <w:szCs w:val="24"/>
        </w:rPr>
      </w:pPr>
      <w:r w:rsidRPr="00E3105B">
        <w:rPr>
          <w:rFonts w:ascii="Times New Roman" w:hAnsi="Times New Roman" w:cs="Times New Roman"/>
          <w:sz w:val="24"/>
          <w:szCs w:val="24"/>
        </w:rPr>
        <w:t>Las categorías para la evaluación han sido:</w:t>
      </w:r>
    </w:p>
    <w:p w14:paraId="0999D6C0" w14:textId="77777777" w:rsidR="003E7D2C" w:rsidRPr="00E3105B" w:rsidRDefault="003E7D2C" w:rsidP="005D360F">
      <w:pPr>
        <w:pStyle w:val="Prrafodelista"/>
        <w:numPr>
          <w:ilvl w:val="0"/>
          <w:numId w:val="1"/>
        </w:numPr>
        <w:spacing w:after="120"/>
        <w:jc w:val="left"/>
        <w:rPr>
          <w:rFonts w:cs="Times New Roman"/>
          <w:szCs w:val="24"/>
        </w:rPr>
      </w:pPr>
      <w:r w:rsidRPr="00E3105B">
        <w:rPr>
          <w:rFonts w:cs="Times New Roman"/>
          <w:szCs w:val="24"/>
        </w:rPr>
        <w:t>Elementos literales: se considera que el significado global y su presentación son iguales.</w:t>
      </w:r>
    </w:p>
    <w:p w14:paraId="6DD044C9" w14:textId="77777777" w:rsidR="003E7D2C" w:rsidRPr="00E3105B" w:rsidRDefault="003E7D2C" w:rsidP="005D360F">
      <w:pPr>
        <w:pStyle w:val="Prrafodelista"/>
        <w:numPr>
          <w:ilvl w:val="0"/>
          <w:numId w:val="1"/>
        </w:numPr>
        <w:spacing w:after="120"/>
        <w:jc w:val="left"/>
        <w:rPr>
          <w:rFonts w:cs="Times New Roman"/>
          <w:szCs w:val="24"/>
        </w:rPr>
      </w:pPr>
      <w:r w:rsidRPr="00E3105B">
        <w:rPr>
          <w:rFonts w:cs="Times New Roman"/>
          <w:szCs w:val="24"/>
        </w:rPr>
        <w:t>Elementos semejantes: se observan cambios en alguna palabra o presentación, pero el significado no varía.</w:t>
      </w:r>
    </w:p>
    <w:p w14:paraId="69EBC655" w14:textId="77777777" w:rsidR="003E7D2C" w:rsidRPr="00E3105B" w:rsidRDefault="003E7D2C" w:rsidP="005D360F">
      <w:pPr>
        <w:pStyle w:val="Prrafodelista"/>
        <w:numPr>
          <w:ilvl w:val="0"/>
          <w:numId w:val="1"/>
        </w:numPr>
        <w:spacing w:after="120"/>
        <w:jc w:val="left"/>
        <w:rPr>
          <w:rFonts w:cs="Times New Roman"/>
          <w:szCs w:val="24"/>
        </w:rPr>
      </w:pPr>
      <w:r w:rsidRPr="00E3105B">
        <w:rPr>
          <w:rFonts w:cs="Times New Roman"/>
          <w:szCs w:val="24"/>
        </w:rPr>
        <w:t>Diferentes: se pierde el significado original del ítem.</w:t>
      </w:r>
    </w:p>
    <w:p w14:paraId="152499B3" w14:textId="77777777" w:rsidR="003E7D2C" w:rsidRPr="00E3105B" w:rsidRDefault="003E7D2C" w:rsidP="005D360F">
      <w:pPr>
        <w:pStyle w:val="Prrafodelista"/>
        <w:numPr>
          <w:ilvl w:val="0"/>
          <w:numId w:val="1"/>
        </w:numPr>
        <w:spacing w:after="120"/>
        <w:jc w:val="left"/>
        <w:rPr>
          <w:rFonts w:cs="Times New Roman"/>
          <w:szCs w:val="24"/>
        </w:rPr>
      </w:pPr>
      <w:r w:rsidRPr="00E3105B">
        <w:rPr>
          <w:rFonts w:cs="Times New Roman"/>
          <w:szCs w:val="24"/>
        </w:rPr>
        <w:t>Nuevos elementos: se añaden comentarios, ítems o aclaraciones que no tiene la versión original.</w:t>
      </w:r>
    </w:p>
    <w:p w14:paraId="3829344E" w14:textId="77777777" w:rsidR="003E7D2C" w:rsidRPr="00E3105B" w:rsidRDefault="003E7D2C" w:rsidP="005D360F">
      <w:pPr>
        <w:pStyle w:val="Prrafodelista"/>
        <w:numPr>
          <w:ilvl w:val="0"/>
          <w:numId w:val="1"/>
        </w:numPr>
        <w:spacing w:after="120"/>
        <w:jc w:val="left"/>
        <w:rPr>
          <w:rFonts w:cs="Times New Roman"/>
          <w:szCs w:val="24"/>
        </w:rPr>
      </w:pPr>
      <w:r w:rsidRPr="00E3105B">
        <w:rPr>
          <w:rFonts w:cs="Times New Roman"/>
          <w:szCs w:val="24"/>
        </w:rPr>
        <w:lastRenderedPageBreak/>
        <w:t>Ítems descartados: se quitan elementos de la herramienta.</w:t>
      </w:r>
    </w:p>
    <w:p w14:paraId="1FC86ABB" w14:textId="77777777" w:rsidR="003E7D2C" w:rsidRPr="00E3105B" w:rsidRDefault="003E7D2C" w:rsidP="005D360F">
      <w:pPr>
        <w:pStyle w:val="Prrafodelista"/>
        <w:numPr>
          <w:ilvl w:val="0"/>
          <w:numId w:val="1"/>
        </w:numPr>
        <w:spacing w:after="120"/>
        <w:jc w:val="left"/>
        <w:rPr>
          <w:rFonts w:cs="Times New Roman"/>
          <w:szCs w:val="24"/>
        </w:rPr>
      </w:pPr>
      <w:r w:rsidRPr="00E3105B">
        <w:rPr>
          <w:rFonts w:cs="Times New Roman"/>
          <w:szCs w:val="24"/>
        </w:rPr>
        <w:t>Cambios de lugar: ítems que cambian su posición dentro de la escala.</w:t>
      </w:r>
    </w:p>
    <w:p w14:paraId="66B34BF7" w14:textId="77777777" w:rsidR="003E7D2C" w:rsidRDefault="003E7D2C" w:rsidP="005D360F">
      <w:pPr>
        <w:spacing w:before="120" w:after="120" w:line="360" w:lineRule="auto"/>
        <w:rPr>
          <w:rFonts w:ascii="Times New Roman" w:hAnsi="Times New Roman" w:cs="Times New Roman"/>
          <w:sz w:val="24"/>
          <w:szCs w:val="24"/>
        </w:rPr>
      </w:pPr>
      <w:r>
        <w:rPr>
          <w:rFonts w:ascii="Times New Roman" w:hAnsi="Times New Roman" w:cs="Times New Roman"/>
          <w:sz w:val="24"/>
          <w:szCs w:val="24"/>
        </w:rPr>
        <w:t>Finalmente, la versión fue aprobada con los autores originales de la prueba.</w:t>
      </w:r>
    </w:p>
    <w:p w14:paraId="0776403D" w14:textId="77777777" w:rsidR="003E7D2C" w:rsidRPr="00C81D3E" w:rsidRDefault="003E7D2C" w:rsidP="005D360F">
      <w:pPr>
        <w:spacing w:before="120" w:after="120" w:line="360" w:lineRule="auto"/>
        <w:rPr>
          <w:rFonts w:ascii="Times New Roman" w:hAnsi="Times New Roman" w:cs="Times New Roman"/>
          <w:sz w:val="24"/>
          <w:szCs w:val="24"/>
        </w:rPr>
      </w:pPr>
    </w:p>
    <w:p w14:paraId="5E8B2126" w14:textId="77777777" w:rsidR="003E7D2C" w:rsidRPr="00E3105B" w:rsidRDefault="003E7D2C" w:rsidP="005D360F">
      <w:pPr>
        <w:spacing w:before="120" w:after="120" w:line="360" w:lineRule="auto"/>
        <w:rPr>
          <w:rFonts w:ascii="Times New Roman" w:hAnsi="Times New Roman" w:cs="Times New Roman"/>
          <w:i/>
          <w:sz w:val="24"/>
          <w:szCs w:val="24"/>
        </w:rPr>
      </w:pPr>
      <w:r w:rsidRPr="00E3105B">
        <w:rPr>
          <w:rFonts w:ascii="Times New Roman" w:hAnsi="Times New Roman" w:cs="Times New Roman"/>
          <w:i/>
          <w:sz w:val="24"/>
          <w:szCs w:val="24"/>
        </w:rPr>
        <w:t>2.2. Muestra</w:t>
      </w:r>
    </w:p>
    <w:p w14:paraId="3E553853" w14:textId="0DE8F99C" w:rsidR="00F719F3" w:rsidRDefault="006F6CAC" w:rsidP="005D360F">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Los participantes del estudio, se dividen en tres grupos: por un lado, un grupo de niños con discapacidad, otro grupo formado por uno de los padres de estos niños (aquel que ellos mismos consideraron que era quién mejor conocía el desempeño del niño) y otro tercero formado por profesionales de la rehabilitación.</w:t>
      </w:r>
    </w:p>
    <w:p w14:paraId="4808FAF8" w14:textId="77777777"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Los criterios de inclusión </w:t>
      </w:r>
      <w:r>
        <w:rPr>
          <w:rFonts w:ascii="Times New Roman" w:hAnsi="Times New Roman" w:cs="Times New Roman"/>
          <w:sz w:val="24"/>
          <w:szCs w:val="24"/>
        </w:rPr>
        <w:t xml:space="preserve">establecidos </w:t>
      </w:r>
      <w:r w:rsidRPr="00E3105B">
        <w:rPr>
          <w:rFonts w:ascii="Times New Roman" w:hAnsi="Times New Roman" w:cs="Times New Roman"/>
          <w:sz w:val="24"/>
          <w:szCs w:val="24"/>
        </w:rPr>
        <w:t>para participar en la prueba piloto fueron, en el caso de los niños con discapacidad</w:t>
      </w:r>
      <w:r>
        <w:rPr>
          <w:rFonts w:ascii="Times New Roman" w:hAnsi="Times New Roman" w:cs="Times New Roman"/>
          <w:sz w:val="24"/>
          <w:szCs w:val="24"/>
        </w:rPr>
        <w:t xml:space="preserve">: </w:t>
      </w:r>
      <w:r w:rsidRPr="00E3105B">
        <w:rPr>
          <w:rFonts w:ascii="Times New Roman" w:hAnsi="Times New Roman" w:cs="Times New Roman"/>
          <w:sz w:val="24"/>
          <w:szCs w:val="24"/>
        </w:rPr>
        <w:t xml:space="preserve">a) tener entre 5 y 15 años, (b) presentar un diagnóstico con dificultades musculoesqueléticas, (c) haber adquirido la lecto-escritura, (d) ser nativo en lengua castellana, y (e) que al menos uno de los padres, fuese nacido en España. Los criterios de inclusión para </w:t>
      </w:r>
      <w:r>
        <w:rPr>
          <w:rFonts w:ascii="Times New Roman" w:hAnsi="Times New Roman" w:cs="Times New Roman"/>
          <w:sz w:val="24"/>
          <w:szCs w:val="24"/>
        </w:rPr>
        <w:t xml:space="preserve">el grupo de </w:t>
      </w:r>
      <w:r w:rsidRPr="00E3105B">
        <w:rPr>
          <w:rFonts w:ascii="Times New Roman" w:hAnsi="Times New Roman" w:cs="Times New Roman"/>
          <w:sz w:val="24"/>
          <w:szCs w:val="24"/>
        </w:rPr>
        <w:t>los padres participantes fueron: (a) haber nacido en España</w:t>
      </w:r>
      <w:r>
        <w:rPr>
          <w:rFonts w:ascii="Times New Roman" w:hAnsi="Times New Roman" w:cs="Times New Roman"/>
          <w:sz w:val="24"/>
          <w:szCs w:val="24"/>
        </w:rPr>
        <w:t>,</w:t>
      </w:r>
      <w:r w:rsidRPr="00E3105B">
        <w:rPr>
          <w:rFonts w:ascii="Times New Roman" w:hAnsi="Times New Roman" w:cs="Times New Roman"/>
          <w:sz w:val="24"/>
          <w:szCs w:val="24"/>
        </w:rPr>
        <w:t xml:space="preserve"> y (b) </w:t>
      </w:r>
      <w:r>
        <w:rPr>
          <w:rFonts w:ascii="Times New Roman" w:hAnsi="Times New Roman" w:cs="Times New Roman"/>
          <w:sz w:val="24"/>
          <w:szCs w:val="24"/>
        </w:rPr>
        <w:t xml:space="preserve">ser padre/madre de un hijo con discapacidad y (c) </w:t>
      </w:r>
      <w:r w:rsidRPr="00E3105B">
        <w:rPr>
          <w:rFonts w:ascii="Times New Roman" w:hAnsi="Times New Roman" w:cs="Times New Roman"/>
          <w:sz w:val="24"/>
          <w:szCs w:val="24"/>
        </w:rPr>
        <w:t xml:space="preserve">ser nativo en lengua castellana. </w:t>
      </w:r>
    </w:p>
    <w:p w14:paraId="1B90D38A" w14:textId="77777777"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Los criterios establecidos para los profesionales fueron: a) haber nacido en España y ser nativo en lengua castellana, y (b) tener más de 5 años de experiencia en el campo de la rehabilitación.</w:t>
      </w:r>
    </w:p>
    <w:p w14:paraId="1E1007A3" w14:textId="77777777" w:rsidR="003E7D2C" w:rsidRPr="00E3105B" w:rsidRDefault="003E7D2C" w:rsidP="005D360F">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Finalmente</w:t>
      </w:r>
      <w:r w:rsidRPr="00E3105B">
        <w:rPr>
          <w:rFonts w:ascii="Times New Roman" w:hAnsi="Times New Roman" w:cs="Times New Roman"/>
          <w:sz w:val="24"/>
          <w:szCs w:val="24"/>
        </w:rPr>
        <w:t xml:space="preserve"> participaron 9 niños (5 niñas y 4 varones) todos ellos con diagnóstico de parálisis cer</w:t>
      </w:r>
      <w:r w:rsidR="00D85FA6">
        <w:rPr>
          <w:rFonts w:ascii="Times New Roman" w:hAnsi="Times New Roman" w:cs="Times New Roman"/>
          <w:sz w:val="24"/>
          <w:szCs w:val="24"/>
        </w:rPr>
        <w:t>ebral. La edad de los niños varió</w:t>
      </w:r>
      <w:r w:rsidRPr="00E3105B">
        <w:rPr>
          <w:rFonts w:ascii="Times New Roman" w:hAnsi="Times New Roman" w:cs="Times New Roman"/>
          <w:sz w:val="24"/>
          <w:szCs w:val="24"/>
        </w:rPr>
        <w:t xml:space="preserve"> entre 7 y 14 años. </w:t>
      </w:r>
      <w:r>
        <w:rPr>
          <w:rFonts w:ascii="Times New Roman" w:hAnsi="Times New Roman" w:cs="Times New Roman"/>
          <w:sz w:val="24"/>
          <w:szCs w:val="24"/>
        </w:rPr>
        <w:t>P</w:t>
      </w:r>
      <w:r w:rsidRPr="00E3105B">
        <w:rPr>
          <w:rFonts w:ascii="Times New Roman" w:hAnsi="Times New Roman" w:cs="Times New Roman"/>
          <w:sz w:val="24"/>
          <w:szCs w:val="24"/>
        </w:rPr>
        <w:t>resentaron tetraplejía espástica</w:t>
      </w:r>
      <w:r>
        <w:rPr>
          <w:rFonts w:ascii="Times New Roman" w:hAnsi="Times New Roman" w:cs="Times New Roman"/>
          <w:sz w:val="24"/>
          <w:szCs w:val="24"/>
        </w:rPr>
        <w:t xml:space="preserve"> 4 niños/as</w:t>
      </w:r>
      <w:r w:rsidRPr="00E3105B">
        <w:rPr>
          <w:rFonts w:ascii="Times New Roman" w:hAnsi="Times New Roman" w:cs="Times New Roman"/>
          <w:sz w:val="24"/>
          <w:szCs w:val="24"/>
        </w:rPr>
        <w:t>,</w:t>
      </w:r>
      <w:r>
        <w:rPr>
          <w:rFonts w:ascii="Times New Roman" w:hAnsi="Times New Roman" w:cs="Times New Roman"/>
          <w:sz w:val="24"/>
          <w:szCs w:val="24"/>
        </w:rPr>
        <w:t xml:space="preserve"> 2 hemiplejia y 3 </w:t>
      </w:r>
      <w:r w:rsidRPr="00E3105B">
        <w:rPr>
          <w:rFonts w:ascii="Times New Roman" w:hAnsi="Times New Roman" w:cs="Times New Roman"/>
          <w:sz w:val="24"/>
          <w:szCs w:val="24"/>
        </w:rPr>
        <w:t xml:space="preserve">diplejía. </w:t>
      </w:r>
      <w:r>
        <w:rPr>
          <w:rFonts w:ascii="Times New Roman" w:hAnsi="Times New Roman" w:cs="Times New Roman"/>
          <w:sz w:val="24"/>
          <w:szCs w:val="24"/>
        </w:rPr>
        <w:t xml:space="preserve">También colaboró uno de los </w:t>
      </w:r>
      <w:r w:rsidRPr="00E3105B">
        <w:rPr>
          <w:rFonts w:ascii="Times New Roman" w:hAnsi="Times New Roman" w:cs="Times New Roman"/>
          <w:sz w:val="24"/>
          <w:szCs w:val="24"/>
        </w:rPr>
        <w:t xml:space="preserve">padres o tutores legales de cada uno de los niños </w:t>
      </w:r>
      <w:r>
        <w:rPr>
          <w:rFonts w:ascii="Times New Roman" w:hAnsi="Times New Roman" w:cs="Times New Roman"/>
          <w:sz w:val="24"/>
          <w:szCs w:val="24"/>
        </w:rPr>
        <w:t xml:space="preserve">(7 madres y 2 padres) y </w:t>
      </w:r>
      <w:r w:rsidRPr="00E3105B">
        <w:rPr>
          <w:rFonts w:ascii="Times New Roman" w:hAnsi="Times New Roman" w:cs="Times New Roman"/>
          <w:sz w:val="24"/>
          <w:szCs w:val="24"/>
        </w:rPr>
        <w:t>4 profesionales (2 fisioterapeutas y 2 terapeutas ocupacionales).</w:t>
      </w:r>
    </w:p>
    <w:p w14:paraId="6801BC06" w14:textId="66111B17"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Todos los padres, así como los profesionales que participaron en la prueba piloto, fueron informados y se obtuvo su consentimiento verbal para su participación.</w:t>
      </w:r>
      <w:r w:rsidR="00BF3118">
        <w:rPr>
          <w:rFonts w:ascii="Times New Roman" w:hAnsi="Times New Roman" w:cs="Times New Roman"/>
          <w:sz w:val="24"/>
          <w:szCs w:val="24"/>
        </w:rPr>
        <w:t xml:space="preserve"> </w:t>
      </w:r>
    </w:p>
    <w:p w14:paraId="25971AC8" w14:textId="77777777" w:rsidR="003E7D2C" w:rsidRPr="00E3105B" w:rsidRDefault="003E7D2C" w:rsidP="005D360F">
      <w:pPr>
        <w:spacing w:before="120" w:after="120" w:line="360" w:lineRule="auto"/>
        <w:ind w:firstLine="426"/>
        <w:rPr>
          <w:rFonts w:ascii="Times New Roman" w:hAnsi="Times New Roman" w:cs="Times New Roman"/>
          <w:i/>
          <w:sz w:val="24"/>
          <w:szCs w:val="24"/>
        </w:rPr>
      </w:pPr>
    </w:p>
    <w:p w14:paraId="30EB3403" w14:textId="77777777" w:rsidR="003E7D2C" w:rsidRPr="00E3105B" w:rsidRDefault="003E7D2C" w:rsidP="005D360F">
      <w:pPr>
        <w:spacing w:before="120" w:after="120" w:line="360" w:lineRule="auto"/>
        <w:rPr>
          <w:rFonts w:ascii="Times New Roman" w:hAnsi="Times New Roman" w:cs="Times New Roman"/>
          <w:sz w:val="24"/>
          <w:szCs w:val="24"/>
        </w:rPr>
      </w:pPr>
      <w:r w:rsidRPr="00E3105B">
        <w:rPr>
          <w:rFonts w:ascii="Times New Roman" w:hAnsi="Times New Roman" w:cs="Times New Roman"/>
          <w:i/>
          <w:sz w:val="24"/>
          <w:szCs w:val="24"/>
        </w:rPr>
        <w:t>2.3. Instrumento</w:t>
      </w:r>
      <w:r w:rsidRPr="00E3105B">
        <w:rPr>
          <w:rFonts w:ascii="Times New Roman" w:hAnsi="Times New Roman" w:cs="Times New Roman"/>
          <w:sz w:val="24"/>
          <w:szCs w:val="24"/>
        </w:rPr>
        <w:t>.</w:t>
      </w:r>
    </w:p>
    <w:p w14:paraId="4A372A43" w14:textId="77777777"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El ASK está compuesto por dos cuestionarios (uno de capacidad y otro de desempeño), con 30 actividades cada uno, que se centran en las áreas de las actividades </w:t>
      </w:r>
      <w:r w:rsidRPr="00E3105B">
        <w:rPr>
          <w:rFonts w:ascii="Times New Roman" w:hAnsi="Times New Roman" w:cs="Times New Roman"/>
          <w:sz w:val="24"/>
          <w:szCs w:val="24"/>
        </w:rPr>
        <w:lastRenderedPageBreak/>
        <w:t>de la vida diaria y el juego. Está diseñada para niños entre 5 y 15 años que presentan limitaciones en las actividades debido a problemas músculo esqueléticos</w:t>
      </w:r>
      <w:r>
        <w:rPr>
          <w:rFonts w:ascii="Times New Roman" w:hAnsi="Times New Roman" w:cs="Times New Roman"/>
          <w:sz w:val="24"/>
          <w:szCs w:val="24"/>
          <w:vertAlign w:val="superscript"/>
        </w:rPr>
        <w:t>20</w:t>
      </w:r>
      <w:r w:rsidRPr="00E3105B">
        <w:rPr>
          <w:rFonts w:ascii="Times New Roman" w:hAnsi="Times New Roman" w:cs="Times New Roman"/>
          <w:noProof/>
          <w:sz w:val="24"/>
          <w:szCs w:val="24"/>
        </w:rPr>
        <w:t>.</w:t>
      </w:r>
      <w:r w:rsidRPr="00E3105B">
        <w:rPr>
          <w:rFonts w:ascii="Times New Roman" w:hAnsi="Times New Roman" w:cs="Times New Roman"/>
          <w:sz w:val="24"/>
          <w:szCs w:val="24"/>
        </w:rPr>
        <w:t xml:space="preserve"> Si el niño no tiene adquirida la lecto-escritura, se contempla la posibilidad de que un adulto lea las preguntas, siempre y cuando no emita comentario ni juicio que pueda condicionar o cuestionar la respuesta dada por el pequeño.</w:t>
      </w:r>
    </w:p>
    <w:p w14:paraId="415D17A5" w14:textId="084280FA"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En el cuestionario ASK de capacidad, los niños han de evaluar el esfuerzo que les supone realizar las actividades descritas, ellos solos, durante la última semana. Así, deben responder en una escala ordinal de 5 números: no pudieron hacerlo nunca (puntuable como 0), lo pudieron hacer con mucha dificultad (puntuable como 1), con dificultad moderada (2), con un poco de dificultad (3), o si bien, ellos p</w:t>
      </w:r>
      <w:r w:rsidR="00BF3118">
        <w:rPr>
          <w:rFonts w:ascii="Times New Roman" w:hAnsi="Times New Roman" w:cs="Times New Roman"/>
          <w:sz w:val="24"/>
          <w:szCs w:val="24"/>
        </w:rPr>
        <w:t>udieron</w:t>
      </w:r>
      <w:r w:rsidRPr="00E3105B">
        <w:rPr>
          <w:rFonts w:ascii="Times New Roman" w:hAnsi="Times New Roman" w:cs="Times New Roman"/>
          <w:sz w:val="24"/>
          <w:szCs w:val="24"/>
        </w:rPr>
        <w:t xml:space="preserve"> haberlo realizado sin dolor, sin dificultad o sin tiempo extra (puntuable como 4). En la escala ASK de desempeño, los niños evalúan esas misma</w:t>
      </w:r>
      <w:r>
        <w:rPr>
          <w:rFonts w:ascii="Times New Roman" w:hAnsi="Times New Roman" w:cs="Times New Roman"/>
          <w:sz w:val="24"/>
          <w:szCs w:val="24"/>
        </w:rPr>
        <w:t>s</w:t>
      </w:r>
      <w:r w:rsidRPr="00E3105B">
        <w:rPr>
          <w:rFonts w:ascii="Times New Roman" w:hAnsi="Times New Roman" w:cs="Times New Roman"/>
          <w:sz w:val="24"/>
          <w:szCs w:val="24"/>
        </w:rPr>
        <w:t xml:space="preserve"> actividades, </w:t>
      </w:r>
      <w:r>
        <w:rPr>
          <w:rFonts w:ascii="Times New Roman" w:hAnsi="Times New Roman" w:cs="Times New Roman"/>
          <w:sz w:val="24"/>
          <w:szCs w:val="24"/>
        </w:rPr>
        <w:t xml:space="preserve">pero </w:t>
      </w:r>
      <w:r w:rsidRPr="00E3105B">
        <w:rPr>
          <w:rFonts w:ascii="Times New Roman" w:hAnsi="Times New Roman" w:cs="Times New Roman"/>
          <w:sz w:val="24"/>
          <w:szCs w:val="24"/>
        </w:rPr>
        <w:t>desde la perspectiva de cuántas veces hicieron esas actividades durante la última semana, de modo que puntúan si no lo hicieron nunca cuando había que hacerlo, lo hicieron por lo menos una vez, lo hicieron la mitad del tiempo, la mayoría del tiempo o cada vez que tuvieron que hacerlo, la puntuación va igualmente de 0 a 4. El resultado de la suma de las puntuaciones obtenidas en cada una de las escalas se transforma en una escala de 0 a 100 para facilitar su interpretación.</w:t>
      </w:r>
    </w:p>
    <w:p w14:paraId="2B60DD79" w14:textId="65F20EF4" w:rsidR="003E7D2C" w:rsidRDefault="003E7D2C" w:rsidP="005D360F">
      <w:pPr>
        <w:spacing w:before="120" w:after="120" w:line="360" w:lineRule="auto"/>
        <w:rPr>
          <w:rFonts w:ascii="Times New Roman" w:hAnsi="Times New Roman" w:cs="Times New Roman"/>
          <w:sz w:val="24"/>
          <w:szCs w:val="24"/>
        </w:rPr>
      </w:pPr>
      <w:r w:rsidRPr="00E3105B">
        <w:rPr>
          <w:rFonts w:ascii="Times New Roman" w:hAnsi="Times New Roman" w:cs="Times New Roman"/>
          <w:sz w:val="24"/>
          <w:szCs w:val="24"/>
        </w:rPr>
        <w:t>Todos los cuestionarios se aplicaron de forma individual, con un profesional</w:t>
      </w:r>
      <w:r w:rsidR="00327B48">
        <w:rPr>
          <w:rFonts w:ascii="Times New Roman" w:hAnsi="Times New Roman" w:cs="Times New Roman"/>
          <w:sz w:val="24"/>
          <w:szCs w:val="24"/>
        </w:rPr>
        <w:t xml:space="preserve"> (fisioterapeuta o terapeuta ocupacional)</w:t>
      </w:r>
      <w:r>
        <w:rPr>
          <w:rFonts w:ascii="Times New Roman" w:hAnsi="Times New Roman" w:cs="Times New Roman"/>
          <w:sz w:val="24"/>
          <w:szCs w:val="24"/>
        </w:rPr>
        <w:t xml:space="preserve"> </w:t>
      </w:r>
      <w:r w:rsidRPr="00B5317E">
        <w:rPr>
          <w:rFonts w:ascii="Times New Roman" w:hAnsi="Times New Roman" w:cs="Times New Roman"/>
          <w:sz w:val="24"/>
          <w:szCs w:val="24"/>
        </w:rPr>
        <w:t>presente para</w:t>
      </w:r>
      <w:r w:rsidRPr="00E3105B">
        <w:rPr>
          <w:rFonts w:ascii="Times New Roman" w:hAnsi="Times New Roman" w:cs="Times New Roman"/>
          <w:sz w:val="24"/>
          <w:szCs w:val="24"/>
        </w:rPr>
        <w:t xml:space="preserve"> resolver las dudas y anotar las cuestiones planteadas.</w:t>
      </w:r>
      <w:r w:rsidR="00327B48">
        <w:rPr>
          <w:rFonts w:ascii="Times New Roman" w:hAnsi="Times New Roman" w:cs="Times New Roman"/>
          <w:sz w:val="24"/>
          <w:szCs w:val="24"/>
        </w:rPr>
        <w:t xml:space="preserve"> En todos los casos, este profesional conocía al niño, tenía experiencia en la rehabilitación infantil y conocía los objetivos del estudio.</w:t>
      </w:r>
    </w:p>
    <w:p w14:paraId="27F10BA4" w14:textId="77777777" w:rsidR="00792B0F" w:rsidRDefault="00792B0F" w:rsidP="005D360F">
      <w:pPr>
        <w:spacing w:before="120" w:after="120" w:line="360" w:lineRule="auto"/>
        <w:rPr>
          <w:rFonts w:ascii="Times New Roman" w:hAnsi="Times New Roman" w:cs="Times New Roman"/>
          <w:sz w:val="24"/>
          <w:szCs w:val="24"/>
        </w:rPr>
      </w:pPr>
    </w:p>
    <w:p w14:paraId="3E1D3E34" w14:textId="77777777" w:rsidR="003E7D2C" w:rsidRPr="00E3105B" w:rsidRDefault="003E7D2C" w:rsidP="005D360F">
      <w:pPr>
        <w:spacing w:before="120" w:after="120" w:line="360" w:lineRule="auto"/>
        <w:rPr>
          <w:rFonts w:ascii="Times New Roman" w:hAnsi="Times New Roman" w:cs="Times New Roman"/>
          <w:b/>
          <w:sz w:val="24"/>
          <w:szCs w:val="24"/>
        </w:rPr>
      </w:pPr>
      <w:r w:rsidRPr="00E3105B">
        <w:rPr>
          <w:rFonts w:ascii="Times New Roman" w:hAnsi="Times New Roman" w:cs="Times New Roman"/>
          <w:b/>
          <w:sz w:val="24"/>
          <w:szCs w:val="24"/>
        </w:rPr>
        <w:t>3. Resultados</w:t>
      </w:r>
    </w:p>
    <w:p w14:paraId="02E8232A" w14:textId="77777777"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Tras el proceso de traducción-</w:t>
      </w:r>
      <w:proofErr w:type="spellStart"/>
      <w:r w:rsidRPr="00E3105B">
        <w:rPr>
          <w:rFonts w:ascii="Times New Roman" w:hAnsi="Times New Roman" w:cs="Times New Roman"/>
          <w:sz w:val="24"/>
          <w:szCs w:val="24"/>
        </w:rPr>
        <w:t>retrotraducción</w:t>
      </w:r>
      <w:proofErr w:type="spellEnd"/>
      <w:r w:rsidRPr="00E3105B">
        <w:rPr>
          <w:rFonts w:ascii="Times New Roman" w:hAnsi="Times New Roman" w:cs="Times New Roman"/>
          <w:sz w:val="24"/>
          <w:szCs w:val="24"/>
        </w:rPr>
        <w:t xml:space="preserve"> y prueba piloto, en la versión en castellano del ASK tanto de capacidad como de desempeño no se descartó ningún ítem y tampoco se produjeron ningún cambio de lugar. Prácticamente todos los ítems se encuadraron dentro de la categoría de elementos </w:t>
      </w:r>
      <w:r w:rsidRPr="00E3105B">
        <w:rPr>
          <w:rFonts w:ascii="Times New Roman" w:hAnsi="Times New Roman" w:cs="Times New Roman"/>
          <w:i/>
          <w:sz w:val="24"/>
          <w:szCs w:val="24"/>
        </w:rPr>
        <w:t>Literales</w:t>
      </w:r>
      <w:r>
        <w:rPr>
          <w:rFonts w:ascii="Times New Roman" w:hAnsi="Times New Roman" w:cs="Times New Roman"/>
          <w:i/>
          <w:sz w:val="24"/>
          <w:szCs w:val="24"/>
        </w:rPr>
        <w:t xml:space="preserve"> </w:t>
      </w:r>
      <w:r w:rsidRPr="00171011">
        <w:rPr>
          <w:rFonts w:ascii="Times New Roman" w:hAnsi="Times New Roman" w:cs="Times New Roman"/>
          <w:sz w:val="24"/>
          <w:szCs w:val="24"/>
        </w:rPr>
        <w:t>(91.5% de los términos son literales)</w:t>
      </w:r>
      <w:r w:rsidRPr="00E3105B">
        <w:rPr>
          <w:rFonts w:ascii="Times New Roman" w:hAnsi="Times New Roman" w:cs="Times New Roman"/>
          <w:sz w:val="24"/>
          <w:szCs w:val="24"/>
        </w:rPr>
        <w:t>.</w:t>
      </w:r>
    </w:p>
    <w:p w14:paraId="1E99C6AB" w14:textId="77777777" w:rsidR="003E7D2C"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Entre los elementos categorizados en el apartado de </w:t>
      </w:r>
      <w:r w:rsidRPr="00E3105B">
        <w:rPr>
          <w:rFonts w:ascii="Times New Roman" w:hAnsi="Times New Roman" w:cs="Times New Roman"/>
          <w:i/>
          <w:sz w:val="24"/>
          <w:szCs w:val="24"/>
        </w:rPr>
        <w:t>Semejantes</w:t>
      </w:r>
      <w:r w:rsidRPr="00E3105B">
        <w:rPr>
          <w:rFonts w:ascii="Times New Roman" w:hAnsi="Times New Roman" w:cs="Times New Roman"/>
          <w:sz w:val="24"/>
          <w:szCs w:val="24"/>
        </w:rPr>
        <w:t xml:space="preserve"> (tabla 1)</w:t>
      </w:r>
      <w:r>
        <w:rPr>
          <w:rFonts w:ascii="Times New Roman" w:hAnsi="Times New Roman" w:cs="Times New Roman"/>
          <w:sz w:val="24"/>
          <w:szCs w:val="24"/>
        </w:rPr>
        <w:t>, que supone un 3.7% para</w:t>
      </w:r>
      <w:r w:rsidRPr="00E3105B">
        <w:rPr>
          <w:rFonts w:ascii="Times New Roman" w:hAnsi="Times New Roman" w:cs="Times New Roman"/>
          <w:sz w:val="24"/>
          <w:szCs w:val="24"/>
        </w:rPr>
        <w:t xml:space="preserve"> ambos cuestionarios, cabe destacar que se cambió el nombre propio que figura en las explicaciones de los cuadernillos, por uno más común en </w:t>
      </w:r>
      <w:r w:rsidRPr="00E3105B">
        <w:rPr>
          <w:rFonts w:ascii="Times New Roman" w:hAnsi="Times New Roman" w:cs="Times New Roman"/>
          <w:sz w:val="24"/>
          <w:szCs w:val="24"/>
        </w:rPr>
        <w:lastRenderedPageBreak/>
        <w:t>nuestro contexto. En los ítems 8 de los cuestionarios de capacidad y desempeño, se modificó el formato de letra, incluyendo una nueva fuente (</w:t>
      </w:r>
      <w:proofErr w:type="spellStart"/>
      <w:r w:rsidRPr="00BF3118">
        <w:rPr>
          <w:rFonts w:ascii="Times New Roman" w:hAnsi="Times New Roman" w:cs="Times New Roman"/>
          <w:i/>
          <w:sz w:val="24"/>
          <w:szCs w:val="24"/>
        </w:rPr>
        <w:t>lucilla</w:t>
      </w:r>
      <w:proofErr w:type="spellEnd"/>
      <w:r w:rsidRPr="00BF3118">
        <w:rPr>
          <w:rFonts w:ascii="Times New Roman" w:hAnsi="Times New Roman" w:cs="Times New Roman"/>
          <w:i/>
          <w:sz w:val="24"/>
          <w:szCs w:val="24"/>
        </w:rPr>
        <w:t xml:space="preserve"> </w:t>
      </w:r>
      <w:proofErr w:type="spellStart"/>
      <w:r w:rsidRPr="00BF3118">
        <w:rPr>
          <w:rFonts w:ascii="Times New Roman" w:hAnsi="Times New Roman" w:cs="Times New Roman"/>
          <w:i/>
          <w:sz w:val="24"/>
          <w:szCs w:val="24"/>
        </w:rPr>
        <w:t>handwriting</w:t>
      </w:r>
      <w:proofErr w:type="spellEnd"/>
      <w:r w:rsidRPr="00E3105B">
        <w:rPr>
          <w:rFonts w:ascii="Times New Roman" w:hAnsi="Times New Roman" w:cs="Times New Roman"/>
          <w:sz w:val="24"/>
          <w:szCs w:val="24"/>
        </w:rPr>
        <w:t xml:space="preserve">), para ilustrar y aclarar el significado de “escritura ligada”. Y, por último, se intentó aclarar, mediante la explicitación con números, las preguntas que el niño/a tiene que responder, en lugar del término genérico “siguientes”. </w:t>
      </w:r>
    </w:p>
    <w:p w14:paraId="65586945" w14:textId="77777777" w:rsidR="00792B0F" w:rsidRDefault="00792B0F" w:rsidP="005D360F">
      <w:pPr>
        <w:spacing w:before="120" w:after="120" w:line="360" w:lineRule="auto"/>
        <w:ind w:firstLine="426"/>
        <w:rPr>
          <w:rFonts w:ascii="Times New Roman" w:hAnsi="Times New Roman" w:cs="Times New Roman"/>
          <w:sz w:val="24"/>
          <w:szCs w:val="24"/>
        </w:rPr>
      </w:pPr>
    </w:p>
    <w:p w14:paraId="1D6D916F" w14:textId="77777777" w:rsidR="00792B0F" w:rsidRPr="00646AC6" w:rsidRDefault="00792B0F" w:rsidP="005D360F">
      <w:pPr>
        <w:spacing w:before="120" w:after="240" w:line="360" w:lineRule="auto"/>
        <w:rPr>
          <w:rFonts w:ascii="Times New Roman" w:hAnsi="Times New Roman" w:cs="Times New Roman"/>
          <w:sz w:val="24"/>
          <w:szCs w:val="24"/>
        </w:rPr>
      </w:pPr>
      <w:r w:rsidRPr="00646AC6">
        <w:rPr>
          <w:rFonts w:ascii="Times New Roman" w:hAnsi="Times New Roman" w:cs="Times New Roman"/>
          <w:sz w:val="24"/>
          <w:szCs w:val="24"/>
        </w:rPr>
        <w:t xml:space="preserve">Tabla 1. Elementos categorizados como </w:t>
      </w:r>
      <w:r w:rsidRPr="00646AC6">
        <w:rPr>
          <w:rFonts w:ascii="Times New Roman" w:hAnsi="Times New Roman" w:cs="Times New Roman"/>
          <w:i/>
          <w:sz w:val="24"/>
          <w:szCs w:val="24"/>
        </w:rPr>
        <w:t>Semejantes</w:t>
      </w:r>
      <w:r w:rsidRPr="00646AC6">
        <w:rPr>
          <w:rFonts w:ascii="Times New Roman" w:hAnsi="Times New Roman" w:cs="Times New Roman"/>
          <w:sz w:val="24"/>
          <w:szCs w:val="24"/>
        </w:rPr>
        <w:t xml:space="preserve"> en la evaluación de la equivalencia cultural.</w:t>
      </w: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881"/>
        <w:gridCol w:w="2881"/>
        <w:gridCol w:w="2882"/>
      </w:tblGrid>
      <w:tr w:rsidR="00792B0F" w:rsidRPr="00646AC6" w14:paraId="53314117" w14:textId="77777777" w:rsidTr="005D360F">
        <w:tc>
          <w:tcPr>
            <w:tcW w:w="2881" w:type="dxa"/>
          </w:tcPr>
          <w:p w14:paraId="0F71087F"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Término original en inglés</w:t>
            </w:r>
          </w:p>
        </w:tc>
        <w:tc>
          <w:tcPr>
            <w:tcW w:w="2881" w:type="dxa"/>
          </w:tcPr>
          <w:p w14:paraId="7E5FBA50"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Traducción literal</w:t>
            </w:r>
          </w:p>
        </w:tc>
        <w:tc>
          <w:tcPr>
            <w:tcW w:w="2882" w:type="dxa"/>
          </w:tcPr>
          <w:p w14:paraId="397B8886"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Versión final</w:t>
            </w:r>
          </w:p>
        </w:tc>
      </w:tr>
      <w:tr w:rsidR="00792B0F" w:rsidRPr="00646AC6" w14:paraId="08DAD8C0" w14:textId="77777777" w:rsidTr="005D360F">
        <w:tc>
          <w:tcPr>
            <w:tcW w:w="2881" w:type="dxa"/>
          </w:tcPr>
          <w:p w14:paraId="239AE2FA" w14:textId="77777777" w:rsidR="00792B0F" w:rsidRPr="00646AC6" w:rsidRDefault="00792B0F" w:rsidP="005D360F">
            <w:pPr>
              <w:spacing w:line="276" w:lineRule="auto"/>
              <w:rPr>
                <w:rFonts w:ascii="Times New Roman" w:hAnsi="Times New Roman" w:cs="Times New Roman"/>
                <w:sz w:val="24"/>
                <w:szCs w:val="24"/>
                <w:lang w:val="en-US"/>
              </w:rPr>
            </w:pPr>
            <w:r w:rsidRPr="00646AC6">
              <w:rPr>
                <w:rFonts w:ascii="Times New Roman" w:hAnsi="Times New Roman" w:cs="Times New Roman"/>
                <w:sz w:val="24"/>
                <w:szCs w:val="24"/>
                <w:lang w:val="en-US"/>
              </w:rPr>
              <w:t>Terry</w:t>
            </w:r>
          </w:p>
        </w:tc>
        <w:tc>
          <w:tcPr>
            <w:tcW w:w="2881" w:type="dxa"/>
          </w:tcPr>
          <w:p w14:paraId="08025F93"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Terry</w:t>
            </w:r>
          </w:p>
        </w:tc>
        <w:tc>
          <w:tcPr>
            <w:tcW w:w="2882" w:type="dxa"/>
          </w:tcPr>
          <w:p w14:paraId="5E193A35"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Javier</w:t>
            </w:r>
          </w:p>
        </w:tc>
      </w:tr>
      <w:tr w:rsidR="00792B0F" w:rsidRPr="00646AC6" w14:paraId="5886ABE3" w14:textId="77777777" w:rsidTr="005D360F">
        <w:tc>
          <w:tcPr>
            <w:tcW w:w="2881" w:type="dxa"/>
          </w:tcPr>
          <w:p w14:paraId="4EB9FAE4" w14:textId="77777777" w:rsidR="00792B0F" w:rsidRPr="00646AC6" w:rsidRDefault="00792B0F" w:rsidP="005D360F">
            <w:pPr>
              <w:spacing w:line="276" w:lineRule="auto"/>
              <w:rPr>
                <w:rFonts w:ascii="Times New Roman" w:hAnsi="Times New Roman" w:cs="Times New Roman"/>
                <w:sz w:val="24"/>
                <w:szCs w:val="24"/>
                <w:lang w:val="en-US"/>
              </w:rPr>
            </w:pPr>
            <w:r w:rsidRPr="00646AC6">
              <w:rPr>
                <w:rFonts w:ascii="Times New Roman" w:hAnsi="Times New Roman" w:cs="Times New Roman"/>
                <w:sz w:val="24"/>
                <w:szCs w:val="24"/>
                <w:lang w:val="en-US"/>
              </w:rPr>
              <w:t>I did my printing (or script writing)</w:t>
            </w:r>
          </w:p>
        </w:tc>
        <w:tc>
          <w:tcPr>
            <w:tcW w:w="2881" w:type="dxa"/>
          </w:tcPr>
          <w:p w14:paraId="4FDADF0F"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Escribí en mayúsculas (o escritura ligada)</w:t>
            </w:r>
          </w:p>
        </w:tc>
        <w:tc>
          <w:tcPr>
            <w:tcW w:w="2882" w:type="dxa"/>
          </w:tcPr>
          <w:p w14:paraId="1AAC2150"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eastAsia="Arial Unicode MS" w:hAnsi="Times New Roman" w:cs="Times New Roman"/>
                <w:sz w:val="24"/>
                <w:szCs w:val="24"/>
              </w:rPr>
              <w:t>Escribí con MAYÚSCULAS (</w:t>
            </w:r>
            <w:r w:rsidRPr="00E763C4">
              <w:rPr>
                <w:rFonts w:ascii="Lucida Handwriting" w:eastAsia="Arial Unicode MS" w:hAnsi="Lucida Handwriting" w:cs="Times New Roman"/>
                <w:sz w:val="20"/>
                <w:szCs w:val="20"/>
              </w:rPr>
              <w:t>o en escritura ligada</w:t>
            </w:r>
            <w:r w:rsidRPr="00646AC6">
              <w:rPr>
                <w:rFonts w:ascii="Times New Roman" w:eastAsia="Arial Unicode MS" w:hAnsi="Times New Roman" w:cs="Times New Roman"/>
                <w:sz w:val="24"/>
                <w:szCs w:val="24"/>
              </w:rPr>
              <w:t>)</w:t>
            </w:r>
          </w:p>
        </w:tc>
      </w:tr>
      <w:tr w:rsidR="00792B0F" w:rsidRPr="00646AC6" w14:paraId="6A88003E" w14:textId="77777777" w:rsidTr="005D360F">
        <w:tc>
          <w:tcPr>
            <w:tcW w:w="2881" w:type="dxa"/>
          </w:tcPr>
          <w:p w14:paraId="417D1BA6" w14:textId="77777777" w:rsidR="00792B0F" w:rsidRPr="00646AC6" w:rsidRDefault="00792B0F" w:rsidP="005D360F">
            <w:pPr>
              <w:spacing w:line="276" w:lineRule="auto"/>
              <w:rPr>
                <w:rFonts w:ascii="Times New Roman" w:hAnsi="Times New Roman" w:cs="Times New Roman"/>
                <w:sz w:val="24"/>
                <w:szCs w:val="24"/>
                <w:lang w:val="en-US"/>
              </w:rPr>
            </w:pPr>
            <w:r w:rsidRPr="00646AC6">
              <w:rPr>
                <w:rFonts w:ascii="Times New Roman" w:hAnsi="Times New Roman" w:cs="Times New Roman"/>
                <w:sz w:val="24"/>
                <w:szCs w:val="24"/>
                <w:lang w:val="en-US"/>
              </w:rPr>
              <w:t>Answer the questions on the next few pages</w:t>
            </w:r>
          </w:p>
        </w:tc>
        <w:tc>
          <w:tcPr>
            <w:tcW w:w="2881" w:type="dxa"/>
          </w:tcPr>
          <w:p w14:paraId="779A96A1"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Responde a las preguntas de las siguientes páginas</w:t>
            </w:r>
          </w:p>
        </w:tc>
        <w:tc>
          <w:tcPr>
            <w:tcW w:w="2882" w:type="dxa"/>
          </w:tcPr>
          <w:p w14:paraId="00918AD7"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Responde a las preguntas de la 11 a la 24</w:t>
            </w:r>
          </w:p>
        </w:tc>
      </w:tr>
      <w:tr w:rsidR="00792B0F" w:rsidRPr="00646AC6" w14:paraId="183DE1EF" w14:textId="77777777" w:rsidTr="005D360F">
        <w:tc>
          <w:tcPr>
            <w:tcW w:w="2881" w:type="dxa"/>
          </w:tcPr>
          <w:p w14:paraId="7E7E35D2" w14:textId="77777777" w:rsidR="00792B0F" w:rsidRPr="00646AC6" w:rsidRDefault="00792B0F" w:rsidP="005D360F">
            <w:pPr>
              <w:spacing w:line="276" w:lineRule="auto"/>
              <w:rPr>
                <w:rFonts w:ascii="Times New Roman" w:hAnsi="Times New Roman" w:cs="Times New Roman"/>
                <w:sz w:val="24"/>
                <w:szCs w:val="24"/>
                <w:lang w:val="en-US"/>
              </w:rPr>
            </w:pPr>
            <w:r w:rsidRPr="00646AC6">
              <w:rPr>
                <w:rFonts w:ascii="Times New Roman" w:hAnsi="Times New Roman" w:cs="Times New Roman"/>
                <w:sz w:val="24"/>
                <w:szCs w:val="24"/>
                <w:lang w:val="en-US"/>
              </w:rPr>
              <w:t>Answer the questions on this page and the next few pages</w:t>
            </w:r>
          </w:p>
        </w:tc>
        <w:tc>
          <w:tcPr>
            <w:tcW w:w="2881" w:type="dxa"/>
          </w:tcPr>
          <w:p w14:paraId="4AE3A2CA"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Responde a las preguntas en esta y en las siguientes páginas</w:t>
            </w:r>
          </w:p>
        </w:tc>
        <w:tc>
          <w:tcPr>
            <w:tcW w:w="2882" w:type="dxa"/>
          </w:tcPr>
          <w:p w14:paraId="19E8EFA2" w14:textId="77777777" w:rsidR="00792B0F" w:rsidRPr="00646AC6" w:rsidRDefault="00792B0F" w:rsidP="005D360F">
            <w:pPr>
              <w:spacing w:line="276" w:lineRule="auto"/>
              <w:rPr>
                <w:rFonts w:ascii="Times New Roman" w:hAnsi="Times New Roman" w:cs="Times New Roman"/>
                <w:sz w:val="24"/>
                <w:szCs w:val="24"/>
              </w:rPr>
            </w:pPr>
            <w:r w:rsidRPr="00646AC6">
              <w:rPr>
                <w:rFonts w:ascii="Times New Roman" w:hAnsi="Times New Roman" w:cs="Times New Roman"/>
                <w:sz w:val="24"/>
                <w:szCs w:val="24"/>
              </w:rPr>
              <w:t>Responde a las preguntas de 25 a la 30</w:t>
            </w:r>
          </w:p>
        </w:tc>
      </w:tr>
    </w:tbl>
    <w:p w14:paraId="19115DA0" w14:textId="77777777" w:rsidR="00792B0F" w:rsidRPr="005D360F" w:rsidRDefault="00792B0F" w:rsidP="005D360F">
      <w:pPr>
        <w:spacing w:before="240" w:after="240" w:line="240" w:lineRule="auto"/>
        <w:jc w:val="center"/>
        <w:rPr>
          <w:rFonts w:ascii="Times New Roman" w:hAnsi="Times New Roman" w:cs="Times New Roman"/>
          <w:sz w:val="24"/>
          <w:szCs w:val="24"/>
        </w:rPr>
      </w:pPr>
      <w:r w:rsidRPr="005D360F">
        <w:rPr>
          <w:rFonts w:ascii="Times New Roman" w:hAnsi="Times New Roman" w:cs="Times New Roman"/>
          <w:sz w:val="24"/>
          <w:szCs w:val="24"/>
        </w:rPr>
        <w:t>Fuente: elaboración propia.</w:t>
      </w:r>
    </w:p>
    <w:p w14:paraId="53C73C9F" w14:textId="77777777" w:rsidR="00792B0F" w:rsidRPr="00E3105B" w:rsidRDefault="00792B0F" w:rsidP="005D360F">
      <w:pPr>
        <w:spacing w:before="120" w:after="120" w:line="360" w:lineRule="auto"/>
        <w:ind w:firstLine="426"/>
        <w:rPr>
          <w:rFonts w:ascii="Times New Roman" w:hAnsi="Times New Roman" w:cs="Times New Roman"/>
          <w:sz w:val="24"/>
          <w:szCs w:val="24"/>
        </w:rPr>
      </w:pPr>
    </w:p>
    <w:p w14:paraId="0C6761BF" w14:textId="7A5ABCE0"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El único elemento considerado como </w:t>
      </w:r>
      <w:r w:rsidRPr="00E3105B">
        <w:rPr>
          <w:rFonts w:ascii="Times New Roman" w:hAnsi="Times New Roman" w:cs="Times New Roman"/>
          <w:i/>
          <w:sz w:val="24"/>
          <w:szCs w:val="24"/>
        </w:rPr>
        <w:t xml:space="preserve">Diferente </w:t>
      </w:r>
      <w:r w:rsidRPr="00E3105B">
        <w:rPr>
          <w:rFonts w:ascii="Times New Roman" w:hAnsi="Times New Roman" w:cs="Times New Roman"/>
          <w:sz w:val="24"/>
          <w:szCs w:val="24"/>
        </w:rPr>
        <w:t xml:space="preserve">fue, dentro del apartado </w:t>
      </w:r>
      <w:r w:rsidR="00781915" w:rsidRPr="00E3105B">
        <w:rPr>
          <w:rFonts w:ascii="Times New Roman" w:hAnsi="Times New Roman" w:cs="Times New Roman"/>
          <w:sz w:val="24"/>
          <w:szCs w:val="24"/>
        </w:rPr>
        <w:t xml:space="preserve">de ambos cuestionarios </w:t>
      </w:r>
      <w:r w:rsidRPr="00E3105B">
        <w:rPr>
          <w:rFonts w:ascii="Times New Roman" w:hAnsi="Times New Roman" w:cs="Times New Roman"/>
          <w:sz w:val="24"/>
          <w:szCs w:val="24"/>
        </w:rPr>
        <w:t>que hace referencia a los apoyos que el niño/a utiliza en sus desplazamientos, el término “silla eléctrica”. En la versión original aparece el término “</w:t>
      </w:r>
      <w:r w:rsidRPr="00BF3118">
        <w:rPr>
          <w:rFonts w:ascii="Times New Roman" w:hAnsi="Times New Roman" w:cs="Times New Roman"/>
          <w:i/>
          <w:sz w:val="24"/>
          <w:szCs w:val="24"/>
        </w:rPr>
        <w:t>scooter</w:t>
      </w:r>
      <w:r w:rsidRPr="00E3105B">
        <w:rPr>
          <w:rFonts w:ascii="Times New Roman" w:hAnsi="Times New Roman" w:cs="Times New Roman"/>
          <w:sz w:val="24"/>
          <w:szCs w:val="24"/>
        </w:rPr>
        <w:t xml:space="preserve">”, que se refiere a un dispositivo de tres ruedas, eléctrico, con manillar, que permite los desplazamientos tanto en interiores como en exteriores. Para la versión </w:t>
      </w:r>
      <w:r>
        <w:rPr>
          <w:rFonts w:ascii="Times New Roman" w:hAnsi="Times New Roman" w:cs="Times New Roman"/>
          <w:sz w:val="24"/>
          <w:szCs w:val="24"/>
        </w:rPr>
        <w:t xml:space="preserve">en </w:t>
      </w:r>
      <w:r w:rsidRPr="00E3105B">
        <w:rPr>
          <w:rFonts w:ascii="Times New Roman" w:hAnsi="Times New Roman" w:cs="Times New Roman"/>
          <w:sz w:val="24"/>
          <w:szCs w:val="24"/>
        </w:rPr>
        <w:t>castellano, se ha considerado que el “</w:t>
      </w:r>
      <w:r w:rsidRPr="00BF3118">
        <w:rPr>
          <w:rFonts w:ascii="Times New Roman" w:hAnsi="Times New Roman" w:cs="Times New Roman"/>
          <w:i/>
          <w:sz w:val="24"/>
          <w:szCs w:val="24"/>
        </w:rPr>
        <w:t>scooter</w:t>
      </w:r>
      <w:r w:rsidRPr="00E3105B">
        <w:rPr>
          <w:rFonts w:ascii="Times New Roman" w:hAnsi="Times New Roman" w:cs="Times New Roman"/>
          <w:sz w:val="24"/>
          <w:szCs w:val="24"/>
        </w:rPr>
        <w:t>” no es un producto de apoyo lo suficientemente popular como para ser incluido entre las opciones, y sin embargo, la silla eléctrica, que no aparecía como opción, ha sido considerada por distintos participantes (familiares, profesionales y profesores universitarios) como más común entre los niños/as con discapacidad física en nuestro contexto.</w:t>
      </w:r>
    </w:p>
    <w:p w14:paraId="751D9BC6" w14:textId="7A2E8E41" w:rsidR="003E7D2C" w:rsidRPr="00E3105B"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Como </w:t>
      </w:r>
      <w:r w:rsidRPr="00E3105B">
        <w:rPr>
          <w:rFonts w:ascii="Times New Roman" w:hAnsi="Times New Roman" w:cs="Times New Roman"/>
          <w:i/>
          <w:sz w:val="24"/>
          <w:szCs w:val="24"/>
        </w:rPr>
        <w:t>Nuevos Elementos</w:t>
      </w:r>
      <w:r w:rsidRPr="00E3105B">
        <w:rPr>
          <w:rFonts w:ascii="Times New Roman" w:hAnsi="Times New Roman" w:cs="Times New Roman"/>
          <w:sz w:val="24"/>
          <w:szCs w:val="24"/>
        </w:rPr>
        <w:t xml:space="preserve"> (tabla 2) se categorizaron únicamente aclaraciones o especificaciones añadidas. En ningún caso se trata de incrementar el número de ítems. Así, en los apartados de ambos cuadernillos, dónde el niño/a selecciona el producto o </w:t>
      </w:r>
      <w:r w:rsidRPr="00E3105B">
        <w:rPr>
          <w:rFonts w:ascii="Times New Roman" w:hAnsi="Times New Roman" w:cs="Times New Roman"/>
          <w:sz w:val="24"/>
          <w:szCs w:val="24"/>
        </w:rPr>
        <w:lastRenderedPageBreak/>
        <w:t>productos que usa para la movilidad, los autores originales utilizan la palabra “</w:t>
      </w:r>
      <w:proofErr w:type="spellStart"/>
      <w:r w:rsidRPr="00BF3118">
        <w:rPr>
          <w:rFonts w:ascii="Times New Roman" w:hAnsi="Times New Roman" w:cs="Times New Roman"/>
          <w:i/>
          <w:sz w:val="24"/>
          <w:szCs w:val="24"/>
        </w:rPr>
        <w:t>brace</w:t>
      </w:r>
      <w:proofErr w:type="spellEnd"/>
      <w:r w:rsidRPr="00E3105B">
        <w:rPr>
          <w:rFonts w:ascii="Times New Roman" w:hAnsi="Times New Roman" w:cs="Times New Roman"/>
          <w:sz w:val="24"/>
          <w:szCs w:val="24"/>
        </w:rPr>
        <w:t xml:space="preserve">” para englobar a los llamados estabilizadores ortopédicos. Sin embargo, en nuestro país es común denominar a estos estabilizadores en referencia a la articulación que estabilizan (tobillera, rodillera, codera, etc.); de tal forma que se ha considerado oportuno añadir esos ejemplos para ilustrar el término estabilizadores ortopédicos. En </w:t>
      </w:r>
      <w:r w:rsidR="002D4549">
        <w:rPr>
          <w:rFonts w:ascii="Times New Roman" w:hAnsi="Times New Roman" w:cs="Times New Roman"/>
          <w:sz w:val="24"/>
          <w:szCs w:val="24"/>
        </w:rPr>
        <w:t>e</w:t>
      </w:r>
      <w:r w:rsidRPr="00E3105B">
        <w:rPr>
          <w:rFonts w:ascii="Times New Roman" w:hAnsi="Times New Roman" w:cs="Times New Roman"/>
          <w:sz w:val="24"/>
          <w:szCs w:val="24"/>
        </w:rPr>
        <w:t>l ítem 12</w:t>
      </w:r>
      <w:r>
        <w:rPr>
          <w:rFonts w:ascii="Times New Roman" w:hAnsi="Times New Roman" w:cs="Times New Roman"/>
          <w:sz w:val="24"/>
          <w:szCs w:val="24"/>
        </w:rPr>
        <w:t xml:space="preserve"> de cada cuestionario,</w:t>
      </w:r>
      <w:r w:rsidRPr="00E3105B">
        <w:rPr>
          <w:rFonts w:ascii="Times New Roman" w:hAnsi="Times New Roman" w:cs="Times New Roman"/>
          <w:sz w:val="24"/>
          <w:szCs w:val="24"/>
        </w:rPr>
        <w:t xml:space="preserve"> se han ampliado los ejemplos que muestra la herramienta, para abarcar una serie de tareas domésticas que realmente puedan implicar a niños desde los 5 años. Los ejemplos que proponen los autores se centran en tareas que solo hacen niños mayores por eso se han incluido algunos otros ejemplos como “recoger los juguetes” o “llevar la ropa sucia al cesto”. En </w:t>
      </w:r>
      <w:r w:rsidR="002D4549">
        <w:rPr>
          <w:rFonts w:ascii="Times New Roman" w:hAnsi="Times New Roman" w:cs="Times New Roman"/>
          <w:sz w:val="24"/>
          <w:szCs w:val="24"/>
        </w:rPr>
        <w:t>e</w:t>
      </w:r>
      <w:r w:rsidRPr="00E3105B">
        <w:rPr>
          <w:rFonts w:ascii="Times New Roman" w:hAnsi="Times New Roman" w:cs="Times New Roman"/>
          <w:sz w:val="24"/>
          <w:szCs w:val="24"/>
        </w:rPr>
        <w:t>l ítem 21,</w:t>
      </w:r>
      <w:r>
        <w:rPr>
          <w:rFonts w:ascii="Times New Roman" w:hAnsi="Times New Roman" w:cs="Times New Roman"/>
          <w:sz w:val="24"/>
          <w:szCs w:val="24"/>
        </w:rPr>
        <w:t xml:space="preserve"> igualmente de ambos c</w:t>
      </w:r>
      <w:r w:rsidRPr="00E3105B">
        <w:rPr>
          <w:rFonts w:ascii="Times New Roman" w:hAnsi="Times New Roman" w:cs="Times New Roman"/>
          <w:sz w:val="24"/>
          <w:szCs w:val="24"/>
        </w:rPr>
        <w:t>uestionarios, se ha añadido el término “yo solo” para enfatizar el concepto que aparece a lo largo de toda la herramienta de que el niño/a haga las cosas por sí mismo. Y finalmente, en los ítems 23 se ha aclarado el significado de agacharse, dando la idea de que realmente es agacharse hasta llegar al suelo, no únicamente inclinarse.</w:t>
      </w:r>
      <w:r>
        <w:rPr>
          <w:rFonts w:ascii="Times New Roman" w:hAnsi="Times New Roman" w:cs="Times New Roman"/>
          <w:sz w:val="24"/>
          <w:szCs w:val="24"/>
        </w:rPr>
        <w:t xml:space="preserve"> Representan igualmente un 3.7% sobre el total de los términos de la herramienta.</w:t>
      </w:r>
    </w:p>
    <w:p w14:paraId="733CFF21" w14:textId="77777777" w:rsidR="00792B0F" w:rsidRDefault="003E7D2C" w:rsidP="005D360F">
      <w:pPr>
        <w:spacing w:before="120" w:after="120" w:line="360" w:lineRule="auto"/>
        <w:rPr>
          <w:rFonts w:ascii="Times New Roman" w:hAnsi="Times New Roman" w:cs="Times New Roman"/>
          <w:sz w:val="24"/>
          <w:szCs w:val="24"/>
        </w:rPr>
      </w:pPr>
      <w:r w:rsidRPr="00E3105B">
        <w:rPr>
          <w:rFonts w:ascii="Times New Roman" w:hAnsi="Times New Roman" w:cs="Times New Roman"/>
          <w:sz w:val="24"/>
          <w:szCs w:val="24"/>
        </w:rPr>
        <w:t>Estos cambios y propuestas fueron</w:t>
      </w:r>
      <w:r>
        <w:rPr>
          <w:rFonts w:ascii="Times New Roman" w:hAnsi="Times New Roman" w:cs="Times New Roman"/>
          <w:sz w:val="24"/>
          <w:szCs w:val="24"/>
        </w:rPr>
        <w:t xml:space="preserve"> </w:t>
      </w:r>
      <w:r w:rsidR="002D4549">
        <w:rPr>
          <w:rFonts w:ascii="Times New Roman" w:hAnsi="Times New Roman" w:cs="Times New Roman"/>
          <w:sz w:val="24"/>
          <w:szCs w:val="24"/>
        </w:rPr>
        <w:t xml:space="preserve">notificadas </w:t>
      </w:r>
      <w:r>
        <w:rPr>
          <w:rFonts w:ascii="Times New Roman" w:hAnsi="Times New Roman" w:cs="Times New Roman"/>
          <w:sz w:val="24"/>
          <w:szCs w:val="24"/>
        </w:rPr>
        <w:t>a los autores de la versión original canadiense, quienes informaron que los aceptaban y dieron</w:t>
      </w:r>
      <w:r w:rsidRPr="00E3105B">
        <w:rPr>
          <w:rFonts w:ascii="Times New Roman" w:hAnsi="Times New Roman" w:cs="Times New Roman"/>
          <w:sz w:val="24"/>
          <w:szCs w:val="24"/>
        </w:rPr>
        <w:t xml:space="preserve"> permiso </w:t>
      </w:r>
      <w:r>
        <w:rPr>
          <w:rFonts w:ascii="Times New Roman" w:hAnsi="Times New Roman" w:cs="Times New Roman"/>
          <w:sz w:val="24"/>
          <w:szCs w:val="24"/>
        </w:rPr>
        <w:t>para el</w:t>
      </w:r>
      <w:r w:rsidRPr="00E3105B">
        <w:rPr>
          <w:rFonts w:ascii="Times New Roman" w:hAnsi="Times New Roman" w:cs="Times New Roman"/>
          <w:sz w:val="24"/>
          <w:szCs w:val="24"/>
        </w:rPr>
        <w:t xml:space="preserve"> uso de la versión final </w:t>
      </w:r>
      <w:r>
        <w:rPr>
          <w:rFonts w:ascii="Times New Roman" w:hAnsi="Times New Roman" w:cs="Times New Roman"/>
          <w:sz w:val="24"/>
          <w:szCs w:val="24"/>
        </w:rPr>
        <w:t>en castellano.</w:t>
      </w:r>
    </w:p>
    <w:p w14:paraId="4D04CAFC" w14:textId="77777777" w:rsidR="00792B0F" w:rsidRDefault="00792B0F" w:rsidP="005D360F">
      <w:pPr>
        <w:spacing w:before="120" w:after="120" w:line="360" w:lineRule="auto"/>
        <w:rPr>
          <w:rFonts w:ascii="Times New Roman" w:hAnsi="Times New Roman" w:cs="Times New Roman"/>
          <w:sz w:val="24"/>
          <w:szCs w:val="24"/>
        </w:rPr>
      </w:pPr>
    </w:p>
    <w:p w14:paraId="6A63E2C3" w14:textId="77777777" w:rsidR="00792B0F" w:rsidRPr="00646AC6" w:rsidRDefault="00792B0F" w:rsidP="005D360F">
      <w:pPr>
        <w:spacing w:before="120" w:after="240" w:line="360" w:lineRule="auto"/>
        <w:rPr>
          <w:rFonts w:ascii="Times New Roman" w:hAnsi="Times New Roman" w:cs="Times New Roman"/>
          <w:sz w:val="24"/>
          <w:szCs w:val="24"/>
        </w:rPr>
      </w:pPr>
      <w:r w:rsidRPr="00646AC6">
        <w:rPr>
          <w:rFonts w:ascii="Times New Roman" w:hAnsi="Times New Roman" w:cs="Times New Roman"/>
          <w:sz w:val="24"/>
          <w:szCs w:val="24"/>
        </w:rPr>
        <w:t xml:space="preserve">Tabla 2. Elementos categorizados como </w:t>
      </w:r>
      <w:r w:rsidRPr="00646AC6">
        <w:rPr>
          <w:rFonts w:ascii="Times New Roman" w:hAnsi="Times New Roman" w:cs="Times New Roman"/>
          <w:i/>
          <w:sz w:val="24"/>
          <w:szCs w:val="24"/>
        </w:rPr>
        <w:t>Nuevos Elementos</w:t>
      </w:r>
      <w:r w:rsidRPr="00646AC6">
        <w:rPr>
          <w:rFonts w:ascii="Times New Roman" w:hAnsi="Times New Roman" w:cs="Times New Roman"/>
          <w:sz w:val="24"/>
          <w:szCs w:val="24"/>
        </w:rPr>
        <w:t xml:space="preserve"> en la evaluación de la equivalencia cultural.</w:t>
      </w: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802"/>
        <w:gridCol w:w="2693"/>
        <w:gridCol w:w="3149"/>
      </w:tblGrid>
      <w:tr w:rsidR="00792B0F" w:rsidRPr="00646AC6" w14:paraId="3800636D" w14:textId="77777777" w:rsidTr="005D360F">
        <w:tc>
          <w:tcPr>
            <w:tcW w:w="2802" w:type="dxa"/>
          </w:tcPr>
          <w:p w14:paraId="14FF5345" w14:textId="77777777" w:rsidR="00792B0F" w:rsidRPr="00646AC6" w:rsidRDefault="00792B0F" w:rsidP="005D360F">
            <w:pPr>
              <w:spacing w:before="120" w:after="120"/>
              <w:rPr>
                <w:rFonts w:ascii="Times New Roman" w:hAnsi="Times New Roman" w:cs="Times New Roman"/>
                <w:sz w:val="24"/>
                <w:szCs w:val="24"/>
              </w:rPr>
            </w:pPr>
            <w:r w:rsidRPr="00646AC6">
              <w:rPr>
                <w:rFonts w:ascii="Times New Roman" w:hAnsi="Times New Roman" w:cs="Times New Roman"/>
                <w:sz w:val="24"/>
                <w:szCs w:val="24"/>
              </w:rPr>
              <w:t>Término original en inglés</w:t>
            </w:r>
          </w:p>
        </w:tc>
        <w:tc>
          <w:tcPr>
            <w:tcW w:w="2693" w:type="dxa"/>
          </w:tcPr>
          <w:p w14:paraId="222A3E48" w14:textId="77777777" w:rsidR="00792B0F" w:rsidRPr="00646AC6" w:rsidRDefault="00792B0F" w:rsidP="005D360F">
            <w:pPr>
              <w:spacing w:before="120" w:after="120"/>
              <w:rPr>
                <w:rFonts w:ascii="Times New Roman" w:hAnsi="Times New Roman" w:cs="Times New Roman"/>
                <w:sz w:val="24"/>
                <w:szCs w:val="24"/>
              </w:rPr>
            </w:pPr>
            <w:r w:rsidRPr="00646AC6">
              <w:rPr>
                <w:rFonts w:ascii="Times New Roman" w:hAnsi="Times New Roman" w:cs="Times New Roman"/>
                <w:sz w:val="24"/>
                <w:szCs w:val="24"/>
              </w:rPr>
              <w:t>Traducción literal</w:t>
            </w:r>
          </w:p>
        </w:tc>
        <w:tc>
          <w:tcPr>
            <w:tcW w:w="3149" w:type="dxa"/>
          </w:tcPr>
          <w:p w14:paraId="49A41D2F" w14:textId="77777777" w:rsidR="00792B0F" w:rsidRPr="00646AC6" w:rsidRDefault="00792B0F" w:rsidP="005D360F">
            <w:pPr>
              <w:spacing w:before="120" w:after="120"/>
              <w:rPr>
                <w:rFonts w:ascii="Times New Roman" w:hAnsi="Times New Roman" w:cs="Times New Roman"/>
                <w:sz w:val="24"/>
                <w:szCs w:val="24"/>
              </w:rPr>
            </w:pPr>
            <w:r w:rsidRPr="00646AC6">
              <w:rPr>
                <w:rFonts w:ascii="Times New Roman" w:hAnsi="Times New Roman" w:cs="Times New Roman"/>
                <w:sz w:val="24"/>
                <w:szCs w:val="24"/>
              </w:rPr>
              <w:t>Versión final</w:t>
            </w:r>
          </w:p>
        </w:tc>
      </w:tr>
      <w:tr w:rsidR="00792B0F" w:rsidRPr="00646AC6" w14:paraId="07318016" w14:textId="77777777" w:rsidTr="005D360F">
        <w:tc>
          <w:tcPr>
            <w:tcW w:w="2802" w:type="dxa"/>
          </w:tcPr>
          <w:p w14:paraId="01F30DCA" w14:textId="77777777" w:rsidR="00792B0F" w:rsidRPr="00646AC6" w:rsidRDefault="00792B0F" w:rsidP="005D360F">
            <w:pPr>
              <w:rPr>
                <w:rFonts w:ascii="Times New Roman" w:hAnsi="Times New Roman" w:cs="Times New Roman"/>
                <w:sz w:val="24"/>
                <w:szCs w:val="24"/>
              </w:rPr>
            </w:pPr>
            <w:proofErr w:type="spellStart"/>
            <w:r w:rsidRPr="00646AC6">
              <w:rPr>
                <w:rFonts w:ascii="Times New Roman" w:hAnsi="Times New Roman" w:cs="Times New Roman"/>
                <w:sz w:val="24"/>
                <w:szCs w:val="24"/>
              </w:rPr>
              <w:t>Brace</w:t>
            </w:r>
            <w:proofErr w:type="spellEnd"/>
          </w:p>
        </w:tc>
        <w:tc>
          <w:tcPr>
            <w:tcW w:w="2693" w:type="dxa"/>
          </w:tcPr>
          <w:p w14:paraId="6464B2E8"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Estabilizador ortopédico</w:t>
            </w:r>
          </w:p>
        </w:tc>
        <w:tc>
          <w:tcPr>
            <w:tcW w:w="3149" w:type="dxa"/>
          </w:tcPr>
          <w:p w14:paraId="063054CA"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Tobillera, rodillera (o cualquier otro estabilizador ortopédico)</w:t>
            </w:r>
          </w:p>
        </w:tc>
      </w:tr>
      <w:tr w:rsidR="00792B0F" w:rsidRPr="00646AC6" w14:paraId="2F7BEF40" w14:textId="77777777" w:rsidTr="005D360F">
        <w:tc>
          <w:tcPr>
            <w:tcW w:w="2802" w:type="dxa"/>
          </w:tcPr>
          <w:p w14:paraId="110B7009" w14:textId="77777777" w:rsidR="00792B0F" w:rsidRPr="00646AC6" w:rsidRDefault="00792B0F" w:rsidP="005D360F">
            <w:pPr>
              <w:rPr>
                <w:rFonts w:ascii="Times New Roman" w:hAnsi="Times New Roman" w:cs="Times New Roman"/>
                <w:sz w:val="24"/>
                <w:szCs w:val="24"/>
                <w:lang w:val="en-US"/>
              </w:rPr>
            </w:pPr>
            <w:r w:rsidRPr="00646AC6">
              <w:rPr>
                <w:rFonts w:ascii="Times New Roman" w:hAnsi="Times New Roman" w:cs="Times New Roman"/>
                <w:sz w:val="24"/>
                <w:szCs w:val="24"/>
                <w:lang w:val="en-US"/>
              </w:rPr>
              <w:t>I think I could have sat on the floor</w:t>
            </w:r>
          </w:p>
        </w:tc>
        <w:tc>
          <w:tcPr>
            <w:tcW w:w="2693" w:type="dxa"/>
          </w:tcPr>
          <w:p w14:paraId="7ED5CAE7"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Creo que podría haberme sentado en el suelo (</w:t>
            </w:r>
            <w:proofErr w:type="spellStart"/>
            <w:r w:rsidRPr="00646AC6">
              <w:rPr>
                <w:rFonts w:ascii="Times New Roman" w:hAnsi="Times New Roman" w:cs="Times New Roman"/>
                <w:sz w:val="24"/>
                <w:szCs w:val="24"/>
              </w:rPr>
              <w:t>ASKc</w:t>
            </w:r>
            <w:proofErr w:type="spellEnd"/>
            <w:r w:rsidRPr="00646AC6">
              <w:rPr>
                <w:rFonts w:ascii="Times New Roman" w:hAnsi="Times New Roman" w:cs="Times New Roman"/>
                <w:sz w:val="24"/>
                <w:szCs w:val="24"/>
              </w:rPr>
              <w:t>)</w:t>
            </w:r>
          </w:p>
        </w:tc>
        <w:tc>
          <w:tcPr>
            <w:tcW w:w="3149" w:type="dxa"/>
          </w:tcPr>
          <w:p w14:paraId="6AD6049D"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Creo que podría haberme sentado en el suelo yo solo (</w:t>
            </w:r>
            <w:proofErr w:type="spellStart"/>
            <w:r w:rsidRPr="00646AC6">
              <w:rPr>
                <w:rFonts w:ascii="Times New Roman" w:hAnsi="Times New Roman" w:cs="Times New Roman"/>
                <w:sz w:val="24"/>
                <w:szCs w:val="24"/>
              </w:rPr>
              <w:t>ASKc</w:t>
            </w:r>
            <w:proofErr w:type="spellEnd"/>
            <w:r w:rsidRPr="00646AC6">
              <w:rPr>
                <w:rFonts w:ascii="Times New Roman" w:hAnsi="Times New Roman" w:cs="Times New Roman"/>
                <w:sz w:val="24"/>
                <w:szCs w:val="24"/>
              </w:rPr>
              <w:t>)</w:t>
            </w:r>
          </w:p>
        </w:tc>
      </w:tr>
      <w:tr w:rsidR="00792B0F" w:rsidRPr="00646AC6" w14:paraId="6387ABA9" w14:textId="77777777" w:rsidTr="005D360F">
        <w:tc>
          <w:tcPr>
            <w:tcW w:w="2802" w:type="dxa"/>
          </w:tcPr>
          <w:p w14:paraId="40963999" w14:textId="77777777" w:rsidR="00792B0F" w:rsidRPr="00646AC6" w:rsidRDefault="00792B0F" w:rsidP="005D360F">
            <w:pPr>
              <w:rPr>
                <w:rFonts w:ascii="Times New Roman" w:hAnsi="Times New Roman" w:cs="Times New Roman"/>
                <w:sz w:val="24"/>
                <w:szCs w:val="24"/>
                <w:lang w:val="en-US"/>
              </w:rPr>
            </w:pPr>
            <w:r w:rsidRPr="00646AC6">
              <w:rPr>
                <w:rFonts w:ascii="Times New Roman" w:hAnsi="Times New Roman" w:cs="Times New Roman"/>
                <w:sz w:val="24"/>
                <w:szCs w:val="24"/>
                <w:lang w:val="en-US"/>
              </w:rPr>
              <w:t>I sat on the floor</w:t>
            </w:r>
          </w:p>
        </w:tc>
        <w:tc>
          <w:tcPr>
            <w:tcW w:w="2693" w:type="dxa"/>
          </w:tcPr>
          <w:p w14:paraId="5E2C8A22"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Me senté en el suelo (</w:t>
            </w:r>
            <w:proofErr w:type="spellStart"/>
            <w:r w:rsidRPr="00646AC6">
              <w:rPr>
                <w:rFonts w:ascii="Times New Roman" w:hAnsi="Times New Roman" w:cs="Times New Roman"/>
                <w:sz w:val="24"/>
                <w:szCs w:val="24"/>
              </w:rPr>
              <w:t>ASKd</w:t>
            </w:r>
            <w:proofErr w:type="spellEnd"/>
            <w:r w:rsidRPr="00646AC6">
              <w:rPr>
                <w:rFonts w:ascii="Times New Roman" w:hAnsi="Times New Roman" w:cs="Times New Roman"/>
                <w:sz w:val="24"/>
                <w:szCs w:val="24"/>
              </w:rPr>
              <w:t>)</w:t>
            </w:r>
          </w:p>
        </w:tc>
        <w:tc>
          <w:tcPr>
            <w:tcW w:w="3149" w:type="dxa"/>
          </w:tcPr>
          <w:p w14:paraId="6DBC153D"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Me senté en el suelo yo solo (</w:t>
            </w:r>
            <w:proofErr w:type="spellStart"/>
            <w:r w:rsidRPr="00646AC6">
              <w:rPr>
                <w:rFonts w:ascii="Times New Roman" w:hAnsi="Times New Roman" w:cs="Times New Roman"/>
                <w:sz w:val="24"/>
                <w:szCs w:val="24"/>
              </w:rPr>
              <w:t>ASKd</w:t>
            </w:r>
            <w:proofErr w:type="spellEnd"/>
            <w:r w:rsidRPr="00646AC6">
              <w:rPr>
                <w:rFonts w:ascii="Times New Roman" w:hAnsi="Times New Roman" w:cs="Times New Roman"/>
                <w:sz w:val="24"/>
                <w:szCs w:val="24"/>
              </w:rPr>
              <w:t>)</w:t>
            </w:r>
          </w:p>
        </w:tc>
      </w:tr>
      <w:tr w:rsidR="00792B0F" w:rsidRPr="00646AC6" w14:paraId="33344B0F" w14:textId="77777777" w:rsidTr="005D360F">
        <w:tc>
          <w:tcPr>
            <w:tcW w:w="2802" w:type="dxa"/>
          </w:tcPr>
          <w:p w14:paraId="66D15ED0" w14:textId="77777777" w:rsidR="00792B0F" w:rsidRPr="00646AC6" w:rsidRDefault="00792B0F" w:rsidP="005D360F">
            <w:pPr>
              <w:rPr>
                <w:rFonts w:ascii="Times New Roman" w:hAnsi="Times New Roman" w:cs="Times New Roman"/>
                <w:sz w:val="24"/>
                <w:szCs w:val="24"/>
                <w:lang w:val="en-US"/>
              </w:rPr>
            </w:pPr>
            <w:r w:rsidRPr="00646AC6">
              <w:rPr>
                <w:rFonts w:ascii="Times New Roman" w:hAnsi="Times New Roman" w:cs="Times New Roman"/>
                <w:sz w:val="24"/>
                <w:szCs w:val="24"/>
                <w:lang w:val="en-US"/>
              </w:rPr>
              <w:t>I think I could have gotten down onto the floor from standing, and got back up again by myself</w:t>
            </w:r>
          </w:p>
        </w:tc>
        <w:tc>
          <w:tcPr>
            <w:tcW w:w="2693" w:type="dxa"/>
          </w:tcPr>
          <w:p w14:paraId="092F4B66"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Creo que podría haberme agachado y volver a levantarme yo solo</w:t>
            </w:r>
          </w:p>
        </w:tc>
        <w:tc>
          <w:tcPr>
            <w:tcW w:w="3149" w:type="dxa"/>
          </w:tcPr>
          <w:p w14:paraId="766C48DD"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Creo que podría haberme agachado (bajado al suelo) y volver a levantarme yo solo</w:t>
            </w:r>
          </w:p>
        </w:tc>
      </w:tr>
      <w:tr w:rsidR="00792B0F" w:rsidRPr="00646AC6" w14:paraId="50D17755" w14:textId="77777777" w:rsidTr="005D360F">
        <w:tc>
          <w:tcPr>
            <w:tcW w:w="2802" w:type="dxa"/>
          </w:tcPr>
          <w:p w14:paraId="78305331" w14:textId="77777777" w:rsidR="00792B0F" w:rsidRPr="00646AC6" w:rsidRDefault="00792B0F" w:rsidP="005D360F">
            <w:pPr>
              <w:rPr>
                <w:rFonts w:ascii="Times New Roman" w:hAnsi="Times New Roman" w:cs="Times New Roman"/>
                <w:sz w:val="24"/>
                <w:szCs w:val="24"/>
                <w:lang w:val="en-US"/>
              </w:rPr>
            </w:pPr>
            <w:r w:rsidRPr="00646AC6">
              <w:rPr>
                <w:rFonts w:ascii="Times New Roman" w:hAnsi="Times New Roman" w:cs="Times New Roman"/>
                <w:sz w:val="24"/>
                <w:szCs w:val="24"/>
                <w:lang w:val="en-US"/>
              </w:rPr>
              <w:t>(Examples: babysitting, or doing the dishes)</w:t>
            </w:r>
          </w:p>
        </w:tc>
        <w:tc>
          <w:tcPr>
            <w:tcW w:w="2693" w:type="dxa"/>
          </w:tcPr>
          <w:p w14:paraId="70F46959"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Ejemplos: cuidar de niños o fregar los platos)</w:t>
            </w:r>
          </w:p>
        </w:tc>
        <w:tc>
          <w:tcPr>
            <w:tcW w:w="3149" w:type="dxa"/>
          </w:tcPr>
          <w:p w14:paraId="6B7A6068" w14:textId="77777777" w:rsidR="00792B0F" w:rsidRPr="00646AC6" w:rsidRDefault="00792B0F" w:rsidP="005D360F">
            <w:pPr>
              <w:rPr>
                <w:rFonts w:ascii="Times New Roman" w:hAnsi="Times New Roman" w:cs="Times New Roman"/>
                <w:sz w:val="24"/>
                <w:szCs w:val="24"/>
              </w:rPr>
            </w:pPr>
            <w:r w:rsidRPr="00646AC6">
              <w:rPr>
                <w:rFonts w:ascii="Times New Roman" w:hAnsi="Times New Roman" w:cs="Times New Roman"/>
                <w:sz w:val="24"/>
                <w:szCs w:val="24"/>
              </w:rPr>
              <w:t xml:space="preserve">Ejemplos: recoger los juguetes, llevar la ropa sucia </w:t>
            </w:r>
            <w:r w:rsidRPr="00646AC6">
              <w:rPr>
                <w:rFonts w:ascii="Times New Roman" w:hAnsi="Times New Roman" w:cs="Times New Roman"/>
                <w:sz w:val="24"/>
                <w:szCs w:val="24"/>
              </w:rPr>
              <w:lastRenderedPageBreak/>
              <w:t>al cesto, hacer la cama, cuidar de niños o fregar los platos)</w:t>
            </w:r>
          </w:p>
        </w:tc>
      </w:tr>
    </w:tbl>
    <w:p w14:paraId="0EDBD3F8" w14:textId="77777777" w:rsidR="00792B0F" w:rsidRPr="00E3105B" w:rsidRDefault="00792B0F" w:rsidP="005D360F">
      <w:pPr>
        <w:spacing w:before="240" w:after="240" w:line="480" w:lineRule="auto"/>
        <w:jc w:val="center"/>
        <w:rPr>
          <w:rFonts w:ascii="Times New Roman" w:hAnsi="Times New Roman" w:cs="Times New Roman"/>
          <w:sz w:val="28"/>
          <w:szCs w:val="24"/>
        </w:rPr>
      </w:pPr>
      <w:r w:rsidRPr="00646AC6">
        <w:rPr>
          <w:rFonts w:ascii="Times New Roman" w:hAnsi="Times New Roman" w:cs="Times New Roman"/>
          <w:sz w:val="24"/>
          <w:szCs w:val="24"/>
        </w:rPr>
        <w:lastRenderedPageBreak/>
        <w:t>Fuente: elaboración propia</w:t>
      </w:r>
    </w:p>
    <w:p w14:paraId="3B3E3782" w14:textId="5468114D" w:rsidR="00673812" w:rsidRDefault="00673812" w:rsidP="005D360F">
      <w:pPr>
        <w:spacing w:line="360" w:lineRule="auto"/>
        <w:rPr>
          <w:rFonts w:ascii="Times New Roman" w:hAnsi="Times New Roman" w:cs="Times New Roman"/>
          <w:b/>
          <w:sz w:val="24"/>
          <w:szCs w:val="24"/>
        </w:rPr>
      </w:pPr>
      <w:r>
        <w:rPr>
          <w:rFonts w:ascii="Times New Roman" w:hAnsi="Times New Roman" w:cs="Times New Roman"/>
          <w:b/>
          <w:sz w:val="24"/>
          <w:szCs w:val="24"/>
        </w:rPr>
        <w:t>4. Discusión</w:t>
      </w:r>
    </w:p>
    <w:p w14:paraId="49E37E52" w14:textId="55F10809" w:rsidR="0009213B" w:rsidRPr="0009213B" w:rsidRDefault="0009213B" w:rsidP="00FF62A4">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Al igual que en las traducciones previas del ASK</w:t>
      </w:r>
      <w:r>
        <w:rPr>
          <w:rFonts w:ascii="Times New Roman" w:hAnsi="Times New Roman" w:cs="Times New Roman"/>
          <w:sz w:val="24"/>
          <w:szCs w:val="24"/>
          <w:vertAlign w:val="superscript"/>
        </w:rPr>
        <w:t>22-24</w:t>
      </w:r>
      <w:r>
        <w:rPr>
          <w:rFonts w:ascii="Times New Roman" w:hAnsi="Times New Roman" w:cs="Times New Roman"/>
          <w:sz w:val="24"/>
          <w:szCs w:val="24"/>
        </w:rPr>
        <w:t>, no se han añadido ítems nuevos y la mayoría de los ítems han sido catalogados como literales. Tanto en la versión española como en la italiana</w:t>
      </w:r>
      <w:r w:rsidR="007C2398">
        <w:rPr>
          <w:rFonts w:ascii="Times New Roman" w:hAnsi="Times New Roman" w:cs="Times New Roman"/>
          <w:sz w:val="24"/>
          <w:szCs w:val="24"/>
          <w:vertAlign w:val="superscript"/>
        </w:rPr>
        <w:t>23</w:t>
      </w:r>
      <w:r>
        <w:rPr>
          <w:rFonts w:ascii="Times New Roman" w:hAnsi="Times New Roman" w:cs="Times New Roman"/>
          <w:sz w:val="24"/>
          <w:szCs w:val="24"/>
        </w:rPr>
        <w:t>, se han modificado los ejemplos relacionados con las tareas del hogar, por resultar en ambos casos, poco representativas culturalmente</w:t>
      </w:r>
      <w:r w:rsidR="007C2398">
        <w:rPr>
          <w:rFonts w:ascii="Times New Roman" w:hAnsi="Times New Roman" w:cs="Times New Roman"/>
          <w:sz w:val="24"/>
          <w:szCs w:val="24"/>
        </w:rPr>
        <w:t>. Siguiendo con los elementos añadidos, en la versión portuguesa</w:t>
      </w:r>
      <w:r w:rsidR="00EF297D">
        <w:rPr>
          <w:rFonts w:ascii="Times New Roman" w:hAnsi="Times New Roman" w:cs="Times New Roman"/>
          <w:sz w:val="24"/>
          <w:szCs w:val="24"/>
          <w:vertAlign w:val="superscript"/>
        </w:rPr>
        <w:t>22</w:t>
      </w:r>
      <w:r w:rsidR="007C2398">
        <w:rPr>
          <w:rFonts w:ascii="Times New Roman" w:hAnsi="Times New Roman" w:cs="Times New Roman"/>
          <w:sz w:val="24"/>
          <w:szCs w:val="24"/>
        </w:rPr>
        <w:t xml:space="preserve">, se añadieron más ejemplos cuando se hace referencia al vestido de la parte superior, mientras que en la versión española se aumentaron los ejemplos de los estabilizadores ortopédicos. </w:t>
      </w:r>
    </w:p>
    <w:p w14:paraId="7AE5FF77" w14:textId="393EC2B4" w:rsidR="00FF62A4" w:rsidRDefault="007C2398" w:rsidP="00FF62A4">
      <w:pPr>
        <w:spacing w:before="120" w:after="12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En ninguna de las traducciones existentes, se menciona ningún cambio; sin embargo, en la versión española si ha producido uno en </w:t>
      </w:r>
      <w:r w:rsidR="00FF62A4" w:rsidRPr="00D447BB">
        <w:rPr>
          <w:rFonts w:ascii="Times New Roman" w:hAnsi="Times New Roman" w:cs="Times New Roman"/>
          <w:sz w:val="24"/>
          <w:szCs w:val="24"/>
        </w:rPr>
        <w:t>la denominación de</w:t>
      </w:r>
      <w:r w:rsidR="00FF62A4">
        <w:rPr>
          <w:rFonts w:ascii="Times New Roman" w:hAnsi="Times New Roman" w:cs="Times New Roman"/>
          <w:sz w:val="24"/>
          <w:szCs w:val="24"/>
        </w:rPr>
        <w:t xml:space="preserve"> </w:t>
      </w:r>
      <w:r w:rsidR="00FF62A4" w:rsidRPr="00E3105B">
        <w:rPr>
          <w:rFonts w:ascii="Times New Roman" w:hAnsi="Times New Roman" w:cs="Times New Roman"/>
          <w:sz w:val="24"/>
          <w:szCs w:val="24"/>
        </w:rPr>
        <w:t>uno de los productos de apoyo a los que se hace referencia</w:t>
      </w:r>
      <w:r>
        <w:rPr>
          <w:rFonts w:ascii="Times New Roman" w:hAnsi="Times New Roman" w:cs="Times New Roman"/>
          <w:sz w:val="24"/>
          <w:szCs w:val="24"/>
        </w:rPr>
        <w:t>: se cambió</w:t>
      </w:r>
      <w:r w:rsidR="00FF62A4" w:rsidRPr="00E3105B">
        <w:rPr>
          <w:rFonts w:ascii="Times New Roman" w:hAnsi="Times New Roman" w:cs="Times New Roman"/>
          <w:sz w:val="24"/>
          <w:szCs w:val="24"/>
        </w:rPr>
        <w:t xml:space="preserve"> el “</w:t>
      </w:r>
      <w:r w:rsidR="00FF62A4" w:rsidRPr="00BF3118">
        <w:rPr>
          <w:rFonts w:ascii="Times New Roman" w:hAnsi="Times New Roman" w:cs="Times New Roman"/>
          <w:i/>
          <w:sz w:val="24"/>
          <w:szCs w:val="24"/>
        </w:rPr>
        <w:t>scooter</w:t>
      </w:r>
      <w:r w:rsidR="00FF62A4" w:rsidRPr="00E3105B">
        <w:rPr>
          <w:rFonts w:ascii="Times New Roman" w:hAnsi="Times New Roman" w:cs="Times New Roman"/>
          <w:sz w:val="24"/>
          <w:szCs w:val="24"/>
        </w:rPr>
        <w:t>” por la “silla eléctrica”.</w:t>
      </w:r>
      <w:r w:rsidR="00FF62A4">
        <w:rPr>
          <w:rFonts w:ascii="Times New Roman" w:hAnsi="Times New Roman" w:cs="Times New Roman"/>
          <w:sz w:val="24"/>
          <w:szCs w:val="24"/>
        </w:rPr>
        <w:t xml:space="preserve"> </w:t>
      </w:r>
    </w:p>
    <w:p w14:paraId="7BD35636" w14:textId="77777777" w:rsidR="00FF62A4" w:rsidRDefault="00FF62A4" w:rsidP="005D360F">
      <w:pPr>
        <w:spacing w:line="360" w:lineRule="auto"/>
        <w:rPr>
          <w:rFonts w:ascii="Times New Roman" w:hAnsi="Times New Roman" w:cs="Times New Roman"/>
          <w:b/>
          <w:sz w:val="24"/>
          <w:szCs w:val="24"/>
        </w:rPr>
      </w:pPr>
    </w:p>
    <w:p w14:paraId="41DF6F15" w14:textId="5A24B6EF" w:rsidR="003E7D2C" w:rsidRPr="00E3105B" w:rsidRDefault="00673812" w:rsidP="005D360F">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3E7D2C" w:rsidRPr="00E3105B">
        <w:rPr>
          <w:rFonts w:ascii="Times New Roman" w:hAnsi="Times New Roman" w:cs="Times New Roman"/>
          <w:b/>
          <w:sz w:val="24"/>
          <w:szCs w:val="24"/>
        </w:rPr>
        <w:t>. Conclusiones</w:t>
      </w:r>
    </w:p>
    <w:p w14:paraId="50A4DAAF" w14:textId="480033D9" w:rsidR="003E7D2C" w:rsidRDefault="003E7D2C" w:rsidP="005D360F">
      <w:pPr>
        <w:spacing w:before="120" w:after="120" w:line="360" w:lineRule="auto"/>
        <w:ind w:firstLine="426"/>
        <w:rPr>
          <w:rFonts w:ascii="Times New Roman" w:hAnsi="Times New Roman" w:cs="Times New Roman"/>
          <w:sz w:val="24"/>
          <w:szCs w:val="24"/>
        </w:rPr>
      </w:pPr>
      <w:r w:rsidRPr="00E3105B">
        <w:rPr>
          <w:rFonts w:ascii="Times New Roman" w:hAnsi="Times New Roman" w:cs="Times New Roman"/>
          <w:sz w:val="24"/>
          <w:szCs w:val="24"/>
        </w:rPr>
        <w:t xml:space="preserve">Los resultados muestran un buen nivel de aplicabilidad y de comprensión de ambos cuestionarios, tanto por los niños/as como por sus padres o tutores legales y </w:t>
      </w:r>
      <w:r>
        <w:rPr>
          <w:rFonts w:ascii="Times New Roman" w:hAnsi="Times New Roman" w:cs="Times New Roman"/>
          <w:sz w:val="24"/>
          <w:szCs w:val="24"/>
        </w:rPr>
        <w:t xml:space="preserve">por </w:t>
      </w:r>
      <w:r w:rsidRPr="00E3105B">
        <w:rPr>
          <w:rFonts w:ascii="Times New Roman" w:hAnsi="Times New Roman" w:cs="Times New Roman"/>
          <w:sz w:val="24"/>
          <w:szCs w:val="24"/>
        </w:rPr>
        <w:t>los profesionales. Por otro lado, si bien se ha iniciado el proceso de validación transcultural, queda pendiente la realización de las diferentes prue</w:t>
      </w:r>
      <w:r>
        <w:rPr>
          <w:rFonts w:ascii="Times New Roman" w:hAnsi="Times New Roman" w:cs="Times New Roman"/>
          <w:sz w:val="24"/>
          <w:szCs w:val="24"/>
        </w:rPr>
        <w:t>bas de fiabilidad y validez que se espera que se aproximen a la versión original</w:t>
      </w:r>
      <w:r w:rsidR="001C1975">
        <w:rPr>
          <w:rFonts w:ascii="Times New Roman" w:hAnsi="Times New Roman" w:cs="Times New Roman"/>
          <w:sz w:val="24"/>
          <w:szCs w:val="24"/>
        </w:rPr>
        <w:t xml:space="preserve">. </w:t>
      </w:r>
    </w:p>
    <w:p w14:paraId="21FE859D" w14:textId="056E1685" w:rsidR="00E95AEF" w:rsidRDefault="00E95AEF" w:rsidP="005D360F">
      <w:pPr>
        <w:spacing w:before="120" w:after="120" w:line="360" w:lineRule="auto"/>
        <w:ind w:firstLine="426"/>
        <w:rPr>
          <w:rFonts w:ascii="Times New Roman" w:hAnsi="Times New Roman" w:cs="Times New Roman"/>
          <w:sz w:val="24"/>
          <w:szCs w:val="24"/>
        </w:rPr>
      </w:pPr>
    </w:p>
    <w:p w14:paraId="23526B0D" w14:textId="6DA60F6F" w:rsidR="004950D9" w:rsidRDefault="00E95AEF" w:rsidP="005D360F">
      <w:pPr>
        <w:spacing w:before="120" w:after="120" w:line="360" w:lineRule="auto"/>
        <w:rPr>
          <w:rFonts w:ascii="Times New Roman" w:hAnsi="Times New Roman" w:cs="Times New Roman"/>
          <w:sz w:val="24"/>
          <w:szCs w:val="24"/>
        </w:rPr>
      </w:pPr>
      <w:r w:rsidRPr="00E3105B">
        <w:rPr>
          <w:rFonts w:ascii="Times New Roman" w:hAnsi="Times New Roman" w:cs="Times New Roman"/>
          <w:b/>
          <w:sz w:val="24"/>
          <w:szCs w:val="24"/>
        </w:rPr>
        <w:t>Agradecimientos</w:t>
      </w:r>
      <w:r>
        <w:rPr>
          <w:rFonts w:ascii="Times New Roman" w:hAnsi="Times New Roman" w:cs="Times New Roman"/>
          <w:b/>
          <w:sz w:val="24"/>
          <w:szCs w:val="24"/>
        </w:rPr>
        <w:t xml:space="preserve">: </w:t>
      </w:r>
      <w:r w:rsidRPr="00E3105B">
        <w:rPr>
          <w:rFonts w:ascii="Times New Roman" w:hAnsi="Times New Roman" w:cs="Times New Roman"/>
          <w:sz w:val="24"/>
          <w:szCs w:val="24"/>
        </w:rPr>
        <w:t xml:space="preserve">Los autores agradecen a la Asociación de Parálisis Cerebral de </w:t>
      </w:r>
      <w:r w:rsidR="007239A0">
        <w:rPr>
          <w:rFonts w:ascii="Times New Roman" w:hAnsi="Times New Roman" w:cs="Times New Roman"/>
          <w:sz w:val="24"/>
          <w:szCs w:val="24"/>
        </w:rPr>
        <w:t>Burgos,</w:t>
      </w:r>
      <w:r w:rsidRPr="00E3105B">
        <w:rPr>
          <w:rFonts w:ascii="Times New Roman" w:hAnsi="Times New Roman" w:cs="Times New Roman"/>
          <w:sz w:val="24"/>
          <w:szCs w:val="24"/>
        </w:rPr>
        <w:t xml:space="preserve"> a sus familias, niños/as y profesionales, la participación en este estudio.</w:t>
      </w:r>
      <w:r w:rsidR="00792B0F">
        <w:rPr>
          <w:rFonts w:ascii="Times New Roman" w:hAnsi="Times New Roman" w:cs="Times New Roman"/>
          <w:sz w:val="24"/>
          <w:szCs w:val="24"/>
        </w:rPr>
        <w:t xml:space="preserve"> Igualmente agradecen el trabajo de </w:t>
      </w:r>
      <w:proofErr w:type="spellStart"/>
      <w:r w:rsidR="00792B0F">
        <w:rPr>
          <w:rFonts w:ascii="Times New Roman" w:hAnsi="Times New Roman" w:cs="Times New Roman"/>
          <w:sz w:val="24"/>
          <w:szCs w:val="24"/>
        </w:rPr>
        <w:t>Transap</w:t>
      </w:r>
      <w:proofErr w:type="spellEnd"/>
      <w:r w:rsidR="00792B0F">
        <w:rPr>
          <w:rFonts w:ascii="Times New Roman" w:hAnsi="Times New Roman" w:cs="Times New Roman"/>
          <w:sz w:val="24"/>
          <w:szCs w:val="24"/>
        </w:rPr>
        <w:t xml:space="preserve"> en el proceso de traducción</w:t>
      </w:r>
      <w:r w:rsidR="004950D9">
        <w:rPr>
          <w:rFonts w:ascii="Times New Roman" w:hAnsi="Times New Roman" w:cs="Times New Roman"/>
          <w:sz w:val="24"/>
          <w:szCs w:val="24"/>
        </w:rPr>
        <w:t xml:space="preserve"> y a Hermógenes Perdiguero su colaboración como licenciado en lengua española.</w:t>
      </w:r>
    </w:p>
    <w:p w14:paraId="0F67FD95" w14:textId="05DC85E9" w:rsidR="00E95AEF" w:rsidRDefault="00E95AEF" w:rsidP="005D360F">
      <w:pPr>
        <w:spacing w:before="120" w:after="120" w:line="360" w:lineRule="auto"/>
        <w:rPr>
          <w:rFonts w:ascii="Times New Roman" w:hAnsi="Times New Roman" w:cs="Times New Roman"/>
          <w:sz w:val="24"/>
          <w:szCs w:val="24"/>
        </w:rPr>
      </w:pPr>
    </w:p>
    <w:p w14:paraId="23780164" w14:textId="51D69758" w:rsidR="00E95AEF" w:rsidRDefault="00E95AEF" w:rsidP="005D360F">
      <w:pPr>
        <w:spacing w:after="0" w:line="360" w:lineRule="auto"/>
        <w:rPr>
          <w:rFonts w:ascii="Times New Roman" w:hAnsi="Times New Roman" w:cs="Times New Roman"/>
          <w:sz w:val="24"/>
          <w:szCs w:val="24"/>
        </w:rPr>
      </w:pPr>
      <w:r w:rsidRPr="008B2997">
        <w:rPr>
          <w:rFonts w:ascii="Times New Roman" w:hAnsi="Times New Roman" w:cs="Times New Roman"/>
          <w:b/>
          <w:sz w:val="24"/>
          <w:szCs w:val="24"/>
        </w:rPr>
        <w:t>Financiación</w:t>
      </w:r>
      <w:r>
        <w:rPr>
          <w:rFonts w:ascii="Times New Roman" w:hAnsi="Times New Roman" w:cs="Times New Roman"/>
          <w:sz w:val="24"/>
          <w:szCs w:val="24"/>
        </w:rPr>
        <w:t xml:space="preserve">: </w:t>
      </w:r>
      <w:r w:rsidR="00792B0F">
        <w:rPr>
          <w:rFonts w:ascii="Times New Roman" w:hAnsi="Times New Roman" w:cs="Times New Roman"/>
          <w:sz w:val="24"/>
          <w:szCs w:val="24"/>
        </w:rPr>
        <w:t>La presente investigación no ha recibido ayudas específicas provenientes de agencias del sector público, sector comercial o entidades sin ánimo de lucro</w:t>
      </w:r>
      <w:r>
        <w:rPr>
          <w:rFonts w:ascii="Times New Roman" w:hAnsi="Times New Roman" w:cs="Times New Roman"/>
          <w:sz w:val="24"/>
          <w:szCs w:val="24"/>
        </w:rPr>
        <w:t>.</w:t>
      </w:r>
    </w:p>
    <w:p w14:paraId="557B63D4" w14:textId="77777777" w:rsidR="001E2464" w:rsidRDefault="001E2464" w:rsidP="005D360F">
      <w:pPr>
        <w:spacing w:after="0" w:line="360" w:lineRule="auto"/>
        <w:rPr>
          <w:rFonts w:ascii="Times New Roman" w:hAnsi="Times New Roman" w:cs="Times New Roman"/>
          <w:sz w:val="24"/>
          <w:szCs w:val="24"/>
        </w:rPr>
      </w:pPr>
    </w:p>
    <w:p w14:paraId="4DDA1F03" w14:textId="77777777" w:rsidR="00E95AEF" w:rsidRDefault="00E95AEF" w:rsidP="005D360F">
      <w:pPr>
        <w:spacing w:after="0" w:line="360" w:lineRule="auto"/>
        <w:rPr>
          <w:rFonts w:ascii="Times New Roman" w:hAnsi="Times New Roman" w:cs="Times New Roman"/>
          <w:sz w:val="24"/>
          <w:szCs w:val="24"/>
        </w:rPr>
      </w:pPr>
      <w:r w:rsidRPr="008B2997">
        <w:rPr>
          <w:rFonts w:ascii="Times New Roman" w:hAnsi="Times New Roman" w:cs="Times New Roman"/>
          <w:b/>
          <w:sz w:val="24"/>
          <w:szCs w:val="24"/>
        </w:rPr>
        <w:t>Conflicto de interés</w:t>
      </w:r>
      <w:r>
        <w:rPr>
          <w:rFonts w:ascii="Times New Roman" w:hAnsi="Times New Roman" w:cs="Times New Roman"/>
          <w:sz w:val="24"/>
          <w:szCs w:val="24"/>
        </w:rPr>
        <w:t>: Los autores declaran que este trabajo no existe conflicto de interés.</w:t>
      </w:r>
    </w:p>
    <w:p w14:paraId="6B62A58F" w14:textId="77777777" w:rsidR="00E95AEF" w:rsidRPr="00E3105B" w:rsidRDefault="00E95AEF" w:rsidP="005D360F">
      <w:pPr>
        <w:spacing w:before="120" w:after="120" w:line="360" w:lineRule="auto"/>
        <w:ind w:firstLine="426"/>
        <w:rPr>
          <w:rFonts w:ascii="Times New Roman" w:hAnsi="Times New Roman" w:cs="Times New Roman"/>
          <w:sz w:val="24"/>
          <w:szCs w:val="24"/>
        </w:rPr>
      </w:pPr>
    </w:p>
    <w:p w14:paraId="5F664EED" w14:textId="2FBF743A" w:rsidR="00A7636A" w:rsidRDefault="00A7636A" w:rsidP="005D360F">
      <w:pPr>
        <w:rPr>
          <w:rFonts w:ascii="Times New Roman" w:hAnsi="Times New Roman" w:cs="Times New Roman"/>
          <w:sz w:val="24"/>
          <w:szCs w:val="24"/>
        </w:rPr>
      </w:pPr>
      <w:r>
        <w:rPr>
          <w:rFonts w:ascii="Times New Roman" w:hAnsi="Times New Roman" w:cs="Times New Roman"/>
          <w:sz w:val="24"/>
          <w:szCs w:val="24"/>
        </w:rPr>
        <w:br w:type="page"/>
      </w:r>
    </w:p>
    <w:p w14:paraId="5EDA9163" w14:textId="2CDD805C" w:rsidR="00E95AEF" w:rsidRPr="00F30C17" w:rsidRDefault="007239A0" w:rsidP="005D360F">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6</w:t>
      </w:r>
      <w:r w:rsidR="00E95AEF" w:rsidRPr="00F30C17">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w:t>
      </w:r>
      <w:r w:rsidR="00E95AEF" w:rsidRPr="00F30C17">
        <w:rPr>
          <w:rFonts w:ascii="Times New Roman" w:hAnsi="Times New Roman" w:cs="Times New Roman"/>
          <w:b/>
          <w:sz w:val="24"/>
          <w:szCs w:val="24"/>
          <w:lang w:val="en-GB"/>
        </w:rPr>
        <w:t>eferencias</w:t>
      </w:r>
      <w:proofErr w:type="spellEnd"/>
      <w:r w:rsidR="00E95AEF" w:rsidRPr="00F30C17">
        <w:rPr>
          <w:rFonts w:ascii="Times New Roman" w:hAnsi="Times New Roman" w:cs="Times New Roman"/>
          <w:b/>
          <w:sz w:val="24"/>
          <w:szCs w:val="24"/>
          <w:lang w:val="en-GB"/>
        </w:rPr>
        <w:t xml:space="preserve"> </w:t>
      </w:r>
      <w:proofErr w:type="spellStart"/>
      <w:r w:rsidR="00E95AEF" w:rsidRPr="00F30C17">
        <w:rPr>
          <w:rFonts w:ascii="Times New Roman" w:hAnsi="Times New Roman" w:cs="Times New Roman"/>
          <w:b/>
          <w:sz w:val="24"/>
          <w:szCs w:val="24"/>
          <w:lang w:val="en-GB"/>
        </w:rPr>
        <w:t>bibliog</w:t>
      </w:r>
      <w:bookmarkStart w:id="0" w:name="_GoBack"/>
      <w:bookmarkEnd w:id="0"/>
      <w:r w:rsidR="00E95AEF" w:rsidRPr="00F30C17">
        <w:rPr>
          <w:rFonts w:ascii="Times New Roman" w:hAnsi="Times New Roman" w:cs="Times New Roman"/>
          <w:b/>
          <w:sz w:val="24"/>
          <w:szCs w:val="24"/>
          <w:lang w:val="en-GB"/>
        </w:rPr>
        <w:t>ráficas</w:t>
      </w:r>
      <w:proofErr w:type="spellEnd"/>
    </w:p>
    <w:p w14:paraId="6C1B4F1B" w14:textId="604C9B78" w:rsidR="00E95AEF" w:rsidRPr="000E7376"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1.</w:t>
      </w:r>
      <w:r w:rsidR="0074722F">
        <w:rPr>
          <w:rFonts w:ascii="Times New Roman" w:hAnsi="Times New Roman" w:cs="Times New Roman"/>
          <w:sz w:val="24"/>
        </w:rPr>
        <w:t xml:space="preserve"> </w:t>
      </w:r>
      <w:r>
        <w:rPr>
          <w:rFonts w:ascii="Times New Roman" w:hAnsi="Times New Roman" w:cs="Times New Roman"/>
          <w:sz w:val="24"/>
        </w:rPr>
        <w:t>World Heatlth Organization</w:t>
      </w:r>
      <w:r w:rsidRPr="00E3105B">
        <w:rPr>
          <w:rFonts w:ascii="Times New Roman" w:hAnsi="Times New Roman" w:cs="Times New Roman"/>
          <w:sz w:val="24"/>
        </w:rPr>
        <w:t xml:space="preserve">. World report on disability. </w:t>
      </w:r>
      <w:r w:rsidRPr="000E7376">
        <w:rPr>
          <w:rFonts w:ascii="Times New Roman" w:hAnsi="Times New Roman" w:cs="Times New Roman"/>
          <w:sz w:val="24"/>
        </w:rPr>
        <w:t>Geneve:</w:t>
      </w:r>
      <w:r w:rsidRPr="0066309A">
        <w:rPr>
          <w:rFonts w:ascii="Times New Roman" w:hAnsi="Times New Roman" w:cs="Times New Roman"/>
          <w:sz w:val="24"/>
        </w:rPr>
        <w:t xml:space="preserve"> </w:t>
      </w:r>
      <w:r>
        <w:rPr>
          <w:rFonts w:ascii="Times New Roman" w:hAnsi="Times New Roman" w:cs="Times New Roman"/>
          <w:sz w:val="24"/>
        </w:rPr>
        <w:t>World Heatlth Organization</w:t>
      </w:r>
      <w:r w:rsidRPr="000E7376">
        <w:rPr>
          <w:rFonts w:ascii="Times New Roman" w:hAnsi="Times New Roman" w:cs="Times New Roman"/>
          <w:sz w:val="24"/>
        </w:rPr>
        <w:t>; 2011.</w:t>
      </w:r>
    </w:p>
    <w:p w14:paraId="6EB6A8FB" w14:textId="5AD0CD7C" w:rsidR="00E95AEF" w:rsidRPr="000E7376" w:rsidRDefault="00E95AEF" w:rsidP="005D360F">
      <w:pPr>
        <w:pStyle w:val="EndNoteBibliography"/>
        <w:spacing w:after="0" w:line="360" w:lineRule="auto"/>
        <w:jc w:val="left"/>
        <w:rPr>
          <w:rFonts w:ascii="Times New Roman" w:hAnsi="Times New Roman" w:cs="Times New Roman"/>
          <w:sz w:val="24"/>
        </w:rPr>
      </w:pPr>
      <w:r w:rsidRPr="00F30C17">
        <w:rPr>
          <w:rFonts w:ascii="Times New Roman" w:hAnsi="Times New Roman" w:cs="Times New Roman"/>
          <w:sz w:val="24"/>
          <w:lang w:val="es-ES"/>
        </w:rPr>
        <w:t>2.</w:t>
      </w:r>
      <w:r w:rsidR="0074722F">
        <w:rPr>
          <w:rFonts w:ascii="Times New Roman" w:hAnsi="Times New Roman" w:cs="Times New Roman"/>
          <w:sz w:val="24"/>
          <w:lang w:val="es-ES"/>
        </w:rPr>
        <w:t xml:space="preserve"> </w:t>
      </w:r>
      <w:r w:rsidRPr="00F30C17">
        <w:rPr>
          <w:rFonts w:ascii="Times New Roman" w:hAnsi="Times New Roman" w:cs="Times New Roman"/>
          <w:sz w:val="24"/>
          <w:lang w:val="es-ES"/>
        </w:rPr>
        <w:t xml:space="preserve">UNICEF. </w:t>
      </w:r>
      <w:r w:rsidRPr="009F66D7">
        <w:rPr>
          <w:rFonts w:ascii="Times New Roman" w:hAnsi="Times New Roman" w:cs="Times New Roman"/>
          <w:sz w:val="24"/>
          <w:lang w:val="es-ES"/>
        </w:rPr>
        <w:t xml:space="preserve">Estado mundial de la infancia. </w:t>
      </w:r>
      <w:r w:rsidRPr="000E7376">
        <w:rPr>
          <w:rFonts w:ascii="Times New Roman" w:hAnsi="Times New Roman" w:cs="Times New Roman"/>
          <w:sz w:val="24"/>
        </w:rPr>
        <w:t>New York: UNICEF; 2013.</w:t>
      </w:r>
    </w:p>
    <w:p w14:paraId="707D8DDB" w14:textId="0809C336"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3.</w:t>
      </w:r>
      <w:r w:rsidR="0074722F">
        <w:rPr>
          <w:rFonts w:ascii="Times New Roman" w:hAnsi="Times New Roman" w:cs="Times New Roman"/>
          <w:sz w:val="24"/>
        </w:rPr>
        <w:t xml:space="preserve"> </w:t>
      </w:r>
      <w:r>
        <w:rPr>
          <w:rFonts w:ascii="Times New Roman" w:hAnsi="Times New Roman" w:cs="Times New Roman"/>
          <w:sz w:val="24"/>
        </w:rPr>
        <w:t xml:space="preserve">World Heatlth Organization. </w:t>
      </w:r>
      <w:r w:rsidRPr="00E3105B">
        <w:rPr>
          <w:rFonts w:ascii="Times New Roman" w:hAnsi="Times New Roman" w:cs="Times New Roman"/>
          <w:sz w:val="24"/>
        </w:rPr>
        <w:t>ICF: international classification of functioning, disability and health. Geneva: World Health Organization; 2001.</w:t>
      </w:r>
    </w:p>
    <w:p w14:paraId="1D5B0E85" w14:textId="2986AD31" w:rsidR="0074722F"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4.</w:t>
      </w:r>
      <w:r w:rsidR="0074722F">
        <w:rPr>
          <w:rFonts w:ascii="Times New Roman" w:hAnsi="Times New Roman" w:cs="Times New Roman"/>
          <w:sz w:val="24"/>
        </w:rPr>
        <w:t xml:space="preserve"> </w:t>
      </w:r>
      <w:r w:rsidR="0074722F" w:rsidRPr="0074722F">
        <w:rPr>
          <w:rFonts w:ascii="Times New Roman" w:hAnsi="Times New Roman" w:cs="Times New Roman"/>
          <w:sz w:val="24"/>
        </w:rPr>
        <w:t>Romero Ayuso DM, Kramer J. Using the spanish child occupational self-assessment (COSA) with children with ADHD</w:t>
      </w:r>
      <w:r w:rsidR="0074722F" w:rsidRPr="00EF297D">
        <w:rPr>
          <w:rFonts w:ascii="Times New Roman" w:hAnsi="Times New Roman" w:cs="Times New Roman"/>
          <w:sz w:val="24"/>
        </w:rPr>
        <w:t>. Occup Ther Ment Health.</w:t>
      </w:r>
      <w:r w:rsidR="0074722F" w:rsidRPr="0074722F">
        <w:rPr>
          <w:rFonts w:ascii="Times New Roman" w:hAnsi="Times New Roman" w:cs="Times New Roman"/>
          <w:sz w:val="24"/>
        </w:rPr>
        <w:t xml:space="preserve"> 2009;</w:t>
      </w:r>
      <w:r w:rsidR="0074722F" w:rsidRPr="0092723B">
        <w:rPr>
          <w:rFonts w:ascii="Times New Roman" w:hAnsi="Times New Roman" w:cs="Times New Roman"/>
          <w:b/>
          <w:sz w:val="24"/>
        </w:rPr>
        <w:t>25(2)</w:t>
      </w:r>
      <w:r w:rsidR="0074722F" w:rsidRPr="0074722F">
        <w:rPr>
          <w:rFonts w:ascii="Times New Roman" w:hAnsi="Times New Roman" w:cs="Times New Roman"/>
          <w:sz w:val="24"/>
        </w:rPr>
        <w:t>:101-14.</w:t>
      </w:r>
    </w:p>
    <w:p w14:paraId="2968B12F" w14:textId="239165C7" w:rsidR="0074722F" w:rsidRPr="0092723B" w:rsidRDefault="0074722F" w:rsidP="0074722F">
      <w:pPr>
        <w:pStyle w:val="EndNoteBibliography"/>
        <w:spacing w:after="0" w:line="360" w:lineRule="auto"/>
        <w:rPr>
          <w:rFonts w:ascii="Times New Roman" w:hAnsi="Times New Roman" w:cs="Times New Roman"/>
          <w:sz w:val="24"/>
          <w:szCs w:val="24"/>
          <w:lang w:val="en-GB"/>
        </w:rPr>
      </w:pPr>
      <w:r w:rsidRPr="0092723B">
        <w:rPr>
          <w:rFonts w:ascii="Times New Roman" w:hAnsi="Times New Roman" w:cs="Times New Roman"/>
          <w:sz w:val="24"/>
          <w:szCs w:val="24"/>
        </w:rPr>
        <w:t xml:space="preserve">5. Daltroy LH, Liang MH, Fossel AH, Goldberg MJ. The POSNA pediatric musculoskeletal functional health questionnaire: report on reliability, validity, and sensitivity to change. Pediatric Outcomes Instrument Development Group. Pediatric Orthopaedic Society of North America. </w:t>
      </w:r>
      <w:r w:rsidRPr="00EF297D">
        <w:rPr>
          <w:rFonts w:ascii="Times New Roman" w:hAnsi="Times New Roman" w:cs="Times New Roman"/>
          <w:sz w:val="24"/>
          <w:szCs w:val="24"/>
          <w:lang w:val="en-GB"/>
        </w:rPr>
        <w:t xml:space="preserve">J </w:t>
      </w:r>
      <w:r w:rsidR="00EF297D" w:rsidRPr="00EF297D">
        <w:rPr>
          <w:rFonts w:ascii="Times New Roman" w:hAnsi="Times New Roman" w:cs="Times New Roman"/>
          <w:sz w:val="24"/>
          <w:szCs w:val="24"/>
          <w:lang w:val="en-GB"/>
        </w:rPr>
        <w:t>P</w:t>
      </w:r>
      <w:r w:rsidRPr="00EF297D">
        <w:rPr>
          <w:rFonts w:ascii="Times New Roman" w:hAnsi="Times New Roman" w:cs="Times New Roman"/>
          <w:sz w:val="24"/>
          <w:szCs w:val="24"/>
          <w:lang w:val="en-GB"/>
        </w:rPr>
        <w:t xml:space="preserve">ediatr </w:t>
      </w:r>
      <w:r w:rsidR="00EF297D" w:rsidRPr="00EF297D">
        <w:rPr>
          <w:rFonts w:ascii="Times New Roman" w:hAnsi="Times New Roman" w:cs="Times New Roman"/>
          <w:sz w:val="24"/>
          <w:szCs w:val="24"/>
          <w:lang w:val="en-GB"/>
        </w:rPr>
        <w:t>O</w:t>
      </w:r>
      <w:r w:rsidRPr="00EF297D">
        <w:rPr>
          <w:rFonts w:ascii="Times New Roman" w:hAnsi="Times New Roman" w:cs="Times New Roman"/>
          <w:sz w:val="24"/>
          <w:szCs w:val="24"/>
          <w:lang w:val="en-GB"/>
        </w:rPr>
        <w:t>rthop. 1998</w:t>
      </w:r>
      <w:r w:rsidRPr="0092723B">
        <w:rPr>
          <w:rFonts w:ascii="Times New Roman" w:hAnsi="Times New Roman" w:cs="Times New Roman"/>
          <w:sz w:val="24"/>
          <w:szCs w:val="24"/>
          <w:lang w:val="en-GB"/>
        </w:rPr>
        <w:t>;</w:t>
      </w:r>
      <w:r w:rsidRPr="0092723B">
        <w:rPr>
          <w:rFonts w:ascii="Times New Roman" w:hAnsi="Times New Roman" w:cs="Times New Roman"/>
          <w:b/>
          <w:sz w:val="24"/>
          <w:szCs w:val="24"/>
          <w:lang w:val="en-GB"/>
        </w:rPr>
        <w:t>18(5)</w:t>
      </w:r>
      <w:r w:rsidRPr="0092723B">
        <w:rPr>
          <w:rFonts w:ascii="Times New Roman" w:hAnsi="Times New Roman" w:cs="Times New Roman"/>
          <w:sz w:val="24"/>
          <w:szCs w:val="24"/>
          <w:lang w:val="en-GB"/>
        </w:rPr>
        <w:t>:561-71.</w:t>
      </w:r>
    </w:p>
    <w:p w14:paraId="1BB80153" w14:textId="08017E6D" w:rsidR="00E95AEF" w:rsidRPr="00E3105B" w:rsidRDefault="0074722F" w:rsidP="005D360F">
      <w:pPr>
        <w:pStyle w:val="EndNoteBibliography"/>
        <w:spacing w:after="0" w:line="360" w:lineRule="auto"/>
        <w:jc w:val="left"/>
        <w:rPr>
          <w:rFonts w:ascii="Times New Roman" w:hAnsi="Times New Roman" w:cs="Times New Roman"/>
          <w:sz w:val="24"/>
        </w:rPr>
      </w:pPr>
      <w:r w:rsidRPr="0092723B">
        <w:rPr>
          <w:rFonts w:ascii="Times New Roman" w:hAnsi="Times New Roman" w:cs="Times New Roman"/>
          <w:sz w:val="24"/>
          <w:szCs w:val="24"/>
        </w:rPr>
        <w:t>6.</w:t>
      </w:r>
      <w:r w:rsidR="00E95AEF" w:rsidRPr="0092723B">
        <w:rPr>
          <w:rFonts w:ascii="Times New Roman" w:hAnsi="Times New Roman" w:cs="Times New Roman"/>
          <w:sz w:val="24"/>
          <w:szCs w:val="24"/>
        </w:rPr>
        <w:t>Young NL, Yoshida KK, Williams JI, Bombardier C, Wright JG.</w:t>
      </w:r>
      <w:r w:rsidR="00E95AEF" w:rsidRPr="00E3105B">
        <w:rPr>
          <w:rFonts w:ascii="Times New Roman" w:hAnsi="Times New Roman" w:cs="Times New Roman"/>
          <w:sz w:val="24"/>
        </w:rPr>
        <w:t xml:space="preserve"> The role of children in reporting their physical-disability. </w:t>
      </w:r>
      <w:r w:rsidR="00E95AEF" w:rsidRPr="004071FD">
        <w:rPr>
          <w:rFonts w:ascii="Times New Roman" w:hAnsi="Times New Roman" w:cs="Times New Roman"/>
          <w:sz w:val="24"/>
        </w:rPr>
        <w:t>Arch Phys Med Rehabil</w:t>
      </w:r>
      <w:r w:rsidR="00DE511B">
        <w:rPr>
          <w:rFonts w:ascii="Times New Roman" w:hAnsi="Times New Roman" w:cs="Times New Roman"/>
          <w:sz w:val="24"/>
        </w:rPr>
        <w:t>.</w:t>
      </w:r>
      <w:r w:rsidR="00E95AEF" w:rsidRPr="00E3105B">
        <w:rPr>
          <w:rFonts w:ascii="Times New Roman" w:hAnsi="Times New Roman" w:cs="Times New Roman"/>
          <w:sz w:val="24"/>
        </w:rPr>
        <w:t xml:space="preserve"> 1995;</w:t>
      </w:r>
      <w:r w:rsidR="00E95AEF" w:rsidRPr="0092723B">
        <w:rPr>
          <w:rFonts w:ascii="Times New Roman" w:hAnsi="Times New Roman" w:cs="Times New Roman"/>
          <w:b/>
          <w:sz w:val="24"/>
        </w:rPr>
        <w:t>76(10)</w:t>
      </w:r>
      <w:r w:rsidR="00E95AEF" w:rsidRPr="00E3105B">
        <w:rPr>
          <w:rFonts w:ascii="Times New Roman" w:hAnsi="Times New Roman" w:cs="Times New Roman"/>
          <w:sz w:val="24"/>
        </w:rPr>
        <w:t>:913-8.</w:t>
      </w:r>
    </w:p>
    <w:p w14:paraId="7D177CE1" w14:textId="2B6B6353" w:rsidR="00E95AEF" w:rsidRPr="00E3105B" w:rsidRDefault="0074722F" w:rsidP="005D360F">
      <w:pPr>
        <w:pStyle w:val="EndNoteBibliography"/>
        <w:spacing w:after="0" w:line="360" w:lineRule="auto"/>
        <w:jc w:val="left"/>
        <w:rPr>
          <w:rFonts w:ascii="Times New Roman" w:hAnsi="Times New Roman" w:cs="Times New Roman"/>
          <w:sz w:val="24"/>
        </w:rPr>
      </w:pPr>
      <w:r>
        <w:rPr>
          <w:rFonts w:ascii="Times New Roman" w:hAnsi="Times New Roman" w:cs="Times New Roman"/>
          <w:sz w:val="24"/>
        </w:rPr>
        <w:t>7</w:t>
      </w:r>
      <w:r w:rsidR="00E95AEF" w:rsidRPr="00E3105B">
        <w:rPr>
          <w:rFonts w:ascii="Times New Roman" w:hAnsi="Times New Roman" w:cs="Times New Roman"/>
          <w:sz w:val="24"/>
        </w:rPr>
        <w:t>.</w:t>
      </w:r>
      <w:r>
        <w:rPr>
          <w:rFonts w:ascii="Times New Roman" w:hAnsi="Times New Roman" w:cs="Times New Roman"/>
          <w:sz w:val="24"/>
        </w:rPr>
        <w:t xml:space="preserve"> </w:t>
      </w:r>
      <w:r w:rsidR="00E95AEF" w:rsidRPr="00E3105B">
        <w:rPr>
          <w:rFonts w:ascii="Times New Roman" w:hAnsi="Times New Roman" w:cs="Times New Roman"/>
          <w:sz w:val="24"/>
        </w:rPr>
        <w:t xml:space="preserve">Schmale GA, Mazor S, Mercer LD, Bompadre V. Lack of Benefit of Physical Therapy on Function Following Supracondylar Humeral Fracture A Randomized Controlled Trial. </w:t>
      </w:r>
      <w:r w:rsidR="00E95AEF" w:rsidRPr="004071FD">
        <w:rPr>
          <w:rFonts w:ascii="Times New Roman" w:hAnsi="Times New Roman" w:cs="Times New Roman"/>
          <w:sz w:val="24"/>
        </w:rPr>
        <w:t>J</w:t>
      </w:r>
      <w:r w:rsidR="00DE511B">
        <w:rPr>
          <w:rFonts w:ascii="Times New Roman" w:hAnsi="Times New Roman" w:cs="Times New Roman"/>
          <w:sz w:val="24"/>
        </w:rPr>
        <w:t xml:space="preserve"> </w:t>
      </w:r>
      <w:r w:rsidR="00E95AEF" w:rsidRPr="004071FD">
        <w:rPr>
          <w:rFonts w:ascii="Times New Roman" w:hAnsi="Times New Roman" w:cs="Times New Roman"/>
          <w:sz w:val="24"/>
        </w:rPr>
        <w:t>Bone</w:t>
      </w:r>
      <w:r w:rsidR="00DE511B">
        <w:rPr>
          <w:rFonts w:ascii="Times New Roman" w:hAnsi="Times New Roman" w:cs="Times New Roman"/>
          <w:sz w:val="24"/>
        </w:rPr>
        <w:t xml:space="preserve"> J</w:t>
      </w:r>
      <w:r w:rsidR="00E95AEF" w:rsidRPr="004071FD">
        <w:rPr>
          <w:rFonts w:ascii="Times New Roman" w:hAnsi="Times New Roman" w:cs="Times New Roman"/>
          <w:sz w:val="24"/>
        </w:rPr>
        <w:t>oint</w:t>
      </w:r>
      <w:r w:rsidR="00DE511B">
        <w:rPr>
          <w:rFonts w:ascii="Times New Roman" w:hAnsi="Times New Roman" w:cs="Times New Roman"/>
          <w:sz w:val="24"/>
        </w:rPr>
        <w:t xml:space="preserve"> S</w:t>
      </w:r>
      <w:r w:rsidR="00E95AEF" w:rsidRPr="004071FD">
        <w:rPr>
          <w:rFonts w:ascii="Times New Roman" w:hAnsi="Times New Roman" w:cs="Times New Roman"/>
          <w:sz w:val="24"/>
        </w:rPr>
        <w:t>urg A</w:t>
      </w:r>
      <w:r w:rsidR="00DE511B">
        <w:rPr>
          <w:rFonts w:ascii="Times New Roman" w:hAnsi="Times New Roman" w:cs="Times New Roman"/>
          <w:sz w:val="24"/>
        </w:rPr>
        <w:t>.</w:t>
      </w:r>
      <w:r w:rsidR="00E95AEF" w:rsidRPr="00E3105B">
        <w:rPr>
          <w:rFonts w:ascii="Times New Roman" w:hAnsi="Times New Roman" w:cs="Times New Roman"/>
          <w:sz w:val="24"/>
        </w:rPr>
        <w:t xml:space="preserve"> 2014;</w:t>
      </w:r>
      <w:r w:rsidR="00E95AEF" w:rsidRPr="0092723B">
        <w:rPr>
          <w:rFonts w:ascii="Times New Roman" w:hAnsi="Times New Roman" w:cs="Times New Roman"/>
          <w:b/>
          <w:sz w:val="24"/>
        </w:rPr>
        <w:t>96A(11)</w:t>
      </w:r>
      <w:r w:rsidR="00E95AEF" w:rsidRPr="00E3105B">
        <w:rPr>
          <w:rFonts w:ascii="Times New Roman" w:hAnsi="Times New Roman" w:cs="Times New Roman"/>
          <w:sz w:val="24"/>
        </w:rPr>
        <w:t>:944-50.</w:t>
      </w:r>
    </w:p>
    <w:p w14:paraId="0FEBDC9C" w14:textId="677A551F"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8.</w:t>
      </w:r>
      <w:r w:rsidR="0074722F">
        <w:rPr>
          <w:rFonts w:ascii="Times New Roman" w:hAnsi="Times New Roman" w:cs="Times New Roman"/>
          <w:sz w:val="24"/>
        </w:rPr>
        <w:t xml:space="preserve"> </w:t>
      </w:r>
      <w:r w:rsidRPr="00E3105B">
        <w:rPr>
          <w:rFonts w:ascii="Times New Roman" w:hAnsi="Times New Roman" w:cs="Times New Roman"/>
          <w:sz w:val="24"/>
        </w:rPr>
        <w:t xml:space="preserve">Boutis K, Willan A, Babyn P, Goeree R, Howard A. A Splint Was Not Inferior to a Cast for Distal Radial Fracture in Children. </w:t>
      </w:r>
      <w:r w:rsidRPr="004071FD">
        <w:rPr>
          <w:rFonts w:ascii="Times New Roman" w:hAnsi="Times New Roman" w:cs="Times New Roman"/>
          <w:sz w:val="24"/>
        </w:rPr>
        <w:t>J</w:t>
      </w:r>
      <w:r w:rsidR="00DE511B">
        <w:rPr>
          <w:rFonts w:ascii="Times New Roman" w:hAnsi="Times New Roman" w:cs="Times New Roman"/>
          <w:sz w:val="24"/>
        </w:rPr>
        <w:t xml:space="preserve"> </w:t>
      </w:r>
      <w:r w:rsidRPr="004071FD">
        <w:rPr>
          <w:rFonts w:ascii="Times New Roman" w:hAnsi="Times New Roman" w:cs="Times New Roman"/>
          <w:sz w:val="24"/>
        </w:rPr>
        <w:t>Bone</w:t>
      </w:r>
      <w:r w:rsidR="00DE511B">
        <w:rPr>
          <w:rFonts w:ascii="Times New Roman" w:hAnsi="Times New Roman" w:cs="Times New Roman"/>
          <w:sz w:val="24"/>
        </w:rPr>
        <w:t xml:space="preserve"> </w:t>
      </w:r>
      <w:r w:rsidRPr="004071FD">
        <w:rPr>
          <w:rFonts w:ascii="Times New Roman" w:hAnsi="Times New Roman" w:cs="Times New Roman"/>
          <w:sz w:val="24"/>
        </w:rPr>
        <w:t>Joint</w:t>
      </w:r>
      <w:r w:rsidR="00DE511B">
        <w:rPr>
          <w:rFonts w:ascii="Times New Roman" w:hAnsi="Times New Roman" w:cs="Times New Roman"/>
          <w:sz w:val="24"/>
        </w:rPr>
        <w:t xml:space="preserve"> </w:t>
      </w:r>
      <w:r w:rsidRPr="004071FD">
        <w:rPr>
          <w:rFonts w:ascii="Times New Roman" w:hAnsi="Times New Roman" w:cs="Times New Roman"/>
          <w:sz w:val="24"/>
        </w:rPr>
        <w:t>Surg Am</w:t>
      </w:r>
      <w:r w:rsidRPr="00E3105B">
        <w:rPr>
          <w:rFonts w:ascii="Times New Roman" w:hAnsi="Times New Roman" w:cs="Times New Roman"/>
          <w:sz w:val="24"/>
        </w:rPr>
        <w:t>. 2011;</w:t>
      </w:r>
      <w:r w:rsidRPr="0092723B">
        <w:rPr>
          <w:rFonts w:ascii="Times New Roman" w:hAnsi="Times New Roman" w:cs="Times New Roman"/>
          <w:b/>
          <w:sz w:val="24"/>
        </w:rPr>
        <w:t>93A(10)</w:t>
      </w:r>
      <w:r w:rsidRPr="00E3105B">
        <w:rPr>
          <w:rFonts w:ascii="Times New Roman" w:hAnsi="Times New Roman" w:cs="Times New Roman"/>
          <w:sz w:val="24"/>
        </w:rPr>
        <w:t>:970-.</w:t>
      </w:r>
    </w:p>
    <w:p w14:paraId="667B08D6" w14:textId="079D0E62"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9.</w:t>
      </w:r>
      <w:r w:rsidR="0074722F">
        <w:rPr>
          <w:rFonts w:ascii="Times New Roman" w:hAnsi="Times New Roman" w:cs="Times New Roman"/>
          <w:sz w:val="24"/>
        </w:rPr>
        <w:t xml:space="preserve"> </w:t>
      </w:r>
      <w:r w:rsidRPr="00E3105B">
        <w:rPr>
          <w:rFonts w:ascii="Times New Roman" w:hAnsi="Times New Roman" w:cs="Times New Roman"/>
          <w:sz w:val="24"/>
        </w:rPr>
        <w:t xml:space="preserve">Boutis K, Willan A, Babyn P, Goeree R, Howard A. Cast versus splint in children with minimally angulated fractures of the distal radius: a randomized controlled trial. </w:t>
      </w:r>
      <w:r w:rsidRPr="004071FD">
        <w:rPr>
          <w:rFonts w:ascii="Times New Roman" w:hAnsi="Times New Roman" w:cs="Times New Roman"/>
          <w:sz w:val="24"/>
        </w:rPr>
        <w:t>CMAJ</w:t>
      </w:r>
      <w:r w:rsidRPr="00E3105B">
        <w:rPr>
          <w:rFonts w:ascii="Times New Roman" w:hAnsi="Times New Roman" w:cs="Times New Roman"/>
          <w:sz w:val="24"/>
        </w:rPr>
        <w:t>. 2010;</w:t>
      </w:r>
      <w:r w:rsidRPr="0092723B">
        <w:rPr>
          <w:rFonts w:ascii="Times New Roman" w:hAnsi="Times New Roman" w:cs="Times New Roman"/>
          <w:b/>
          <w:sz w:val="24"/>
        </w:rPr>
        <w:t>182(14)</w:t>
      </w:r>
      <w:r w:rsidRPr="00E3105B">
        <w:rPr>
          <w:rFonts w:ascii="Times New Roman" w:hAnsi="Times New Roman" w:cs="Times New Roman"/>
          <w:sz w:val="24"/>
        </w:rPr>
        <w:t>:1507-12.</w:t>
      </w:r>
    </w:p>
    <w:p w14:paraId="190EF47A" w14:textId="65381BFA"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10.</w:t>
      </w:r>
      <w:r w:rsidR="0074722F">
        <w:rPr>
          <w:rFonts w:ascii="Times New Roman" w:hAnsi="Times New Roman" w:cs="Times New Roman"/>
          <w:sz w:val="24"/>
        </w:rPr>
        <w:t xml:space="preserve"> </w:t>
      </w:r>
      <w:r w:rsidRPr="00E3105B">
        <w:rPr>
          <w:rFonts w:ascii="Times New Roman" w:hAnsi="Times New Roman" w:cs="Times New Roman"/>
          <w:sz w:val="24"/>
        </w:rPr>
        <w:t xml:space="preserve">Silkwood-Sherer DJ, Killian CB, Long TM, Martin KS. Hippotherapy-An Intervention to Habilitate Balance Deficits in Children With Movement Disorders: A Clinical Trial. </w:t>
      </w:r>
      <w:r w:rsidRPr="004071FD">
        <w:rPr>
          <w:rFonts w:ascii="Times New Roman" w:hAnsi="Times New Roman" w:cs="Times New Roman"/>
          <w:sz w:val="24"/>
        </w:rPr>
        <w:t>Phys Ther</w:t>
      </w:r>
      <w:r w:rsidRPr="00E3105B">
        <w:rPr>
          <w:rFonts w:ascii="Times New Roman" w:hAnsi="Times New Roman" w:cs="Times New Roman"/>
          <w:sz w:val="24"/>
        </w:rPr>
        <w:t>. 2012;</w:t>
      </w:r>
      <w:r w:rsidRPr="0092723B">
        <w:rPr>
          <w:rFonts w:ascii="Times New Roman" w:hAnsi="Times New Roman" w:cs="Times New Roman"/>
          <w:b/>
          <w:sz w:val="24"/>
        </w:rPr>
        <w:t>92(5)</w:t>
      </w:r>
      <w:r w:rsidRPr="00E3105B">
        <w:rPr>
          <w:rFonts w:ascii="Times New Roman" w:hAnsi="Times New Roman" w:cs="Times New Roman"/>
          <w:sz w:val="24"/>
        </w:rPr>
        <w:t>:707-17.</w:t>
      </w:r>
    </w:p>
    <w:p w14:paraId="6DC5B406" w14:textId="0268589C"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11.</w:t>
      </w:r>
      <w:r w:rsidR="0074722F">
        <w:rPr>
          <w:rFonts w:ascii="Times New Roman" w:hAnsi="Times New Roman" w:cs="Times New Roman"/>
          <w:sz w:val="24"/>
        </w:rPr>
        <w:t xml:space="preserve"> </w:t>
      </w:r>
      <w:r w:rsidRPr="00E3105B">
        <w:rPr>
          <w:rFonts w:ascii="Times New Roman" w:hAnsi="Times New Roman" w:cs="Times New Roman"/>
          <w:sz w:val="24"/>
        </w:rPr>
        <w:t xml:space="preserve">Barkat-Masih M, Saha C, Golomb MR. ASKing the Kids: How Children View Their Abilities After Perinatal Stroke. </w:t>
      </w:r>
      <w:r w:rsidRPr="002D5EE7">
        <w:rPr>
          <w:rFonts w:ascii="Times New Roman" w:hAnsi="Times New Roman" w:cs="Times New Roman"/>
          <w:sz w:val="24"/>
        </w:rPr>
        <w:t>JCN</w:t>
      </w:r>
      <w:r w:rsidRPr="00E3105B">
        <w:rPr>
          <w:rFonts w:ascii="Times New Roman" w:hAnsi="Times New Roman" w:cs="Times New Roman"/>
          <w:sz w:val="24"/>
        </w:rPr>
        <w:t>. 2011;</w:t>
      </w:r>
      <w:r w:rsidRPr="0092723B">
        <w:rPr>
          <w:rFonts w:ascii="Times New Roman" w:hAnsi="Times New Roman" w:cs="Times New Roman"/>
          <w:b/>
          <w:sz w:val="24"/>
        </w:rPr>
        <w:t>26(1)</w:t>
      </w:r>
      <w:r w:rsidRPr="00E3105B">
        <w:rPr>
          <w:rFonts w:ascii="Times New Roman" w:hAnsi="Times New Roman" w:cs="Times New Roman"/>
          <w:sz w:val="24"/>
        </w:rPr>
        <w:t>:44-8.</w:t>
      </w:r>
    </w:p>
    <w:p w14:paraId="549843DD" w14:textId="6489DC51" w:rsidR="00E95AEF" w:rsidRPr="00E3105B" w:rsidRDefault="00E95AEF" w:rsidP="005D360F">
      <w:pPr>
        <w:pStyle w:val="EndNoteBibliography"/>
        <w:spacing w:after="0" w:line="360" w:lineRule="auto"/>
        <w:jc w:val="left"/>
        <w:rPr>
          <w:rFonts w:ascii="Times New Roman" w:hAnsi="Times New Roman" w:cs="Times New Roman"/>
          <w:sz w:val="24"/>
        </w:rPr>
      </w:pPr>
      <w:r w:rsidRPr="004C2339">
        <w:rPr>
          <w:rFonts w:ascii="Times New Roman" w:hAnsi="Times New Roman" w:cs="Times New Roman"/>
          <w:sz w:val="24"/>
          <w:lang w:val="en-GB"/>
        </w:rPr>
        <w:t>12.</w:t>
      </w:r>
      <w:r w:rsidR="0074722F" w:rsidRPr="004C2339">
        <w:rPr>
          <w:rFonts w:ascii="Times New Roman" w:hAnsi="Times New Roman" w:cs="Times New Roman"/>
          <w:sz w:val="24"/>
          <w:lang w:val="en-GB"/>
        </w:rPr>
        <w:t xml:space="preserve"> </w:t>
      </w:r>
      <w:r w:rsidRPr="004C2339">
        <w:rPr>
          <w:rFonts w:ascii="Times New Roman" w:hAnsi="Times New Roman" w:cs="Times New Roman"/>
          <w:sz w:val="24"/>
          <w:lang w:val="en-GB"/>
        </w:rPr>
        <w:t xml:space="preserve">Moreau NG, Falvo MJ, Damiano DL. </w:t>
      </w:r>
      <w:r w:rsidRPr="00E3105B">
        <w:rPr>
          <w:rFonts w:ascii="Times New Roman" w:hAnsi="Times New Roman" w:cs="Times New Roman"/>
          <w:sz w:val="24"/>
        </w:rPr>
        <w:t>Rapid force generation is impaired in cerebral palsy and is related to decreased muscle size and functional mobility</w:t>
      </w:r>
      <w:r w:rsidRPr="00E42BA6">
        <w:rPr>
          <w:rFonts w:ascii="Times New Roman" w:hAnsi="Times New Roman" w:cs="Times New Roman"/>
          <w:sz w:val="24"/>
        </w:rPr>
        <w:t>. Gait Posture.</w:t>
      </w:r>
      <w:r w:rsidRPr="0054340D">
        <w:rPr>
          <w:rFonts w:ascii="Times New Roman" w:hAnsi="Times New Roman" w:cs="Times New Roman"/>
          <w:sz w:val="24"/>
        </w:rPr>
        <w:t xml:space="preserve"> 201</w:t>
      </w:r>
      <w:r w:rsidRPr="00E3105B">
        <w:rPr>
          <w:rFonts w:ascii="Times New Roman" w:hAnsi="Times New Roman" w:cs="Times New Roman"/>
          <w:sz w:val="24"/>
        </w:rPr>
        <w:t>2;</w:t>
      </w:r>
      <w:r w:rsidRPr="0092723B">
        <w:rPr>
          <w:rFonts w:ascii="Times New Roman" w:hAnsi="Times New Roman" w:cs="Times New Roman"/>
          <w:b/>
          <w:sz w:val="24"/>
        </w:rPr>
        <w:t>35(1)</w:t>
      </w:r>
      <w:r w:rsidRPr="00E3105B">
        <w:rPr>
          <w:rFonts w:ascii="Times New Roman" w:hAnsi="Times New Roman" w:cs="Times New Roman"/>
          <w:sz w:val="24"/>
        </w:rPr>
        <w:t>:154-8.</w:t>
      </w:r>
    </w:p>
    <w:p w14:paraId="70704E86" w14:textId="0781C36D"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13.</w:t>
      </w:r>
      <w:r w:rsidR="0074722F">
        <w:rPr>
          <w:rFonts w:ascii="Times New Roman" w:hAnsi="Times New Roman" w:cs="Times New Roman"/>
          <w:sz w:val="24"/>
        </w:rPr>
        <w:t xml:space="preserve"> </w:t>
      </w:r>
      <w:r w:rsidRPr="00E3105B">
        <w:rPr>
          <w:rFonts w:ascii="Times New Roman" w:hAnsi="Times New Roman" w:cs="Times New Roman"/>
          <w:sz w:val="24"/>
        </w:rPr>
        <w:t xml:space="preserve">Sibinski M, Synder M, Higgs ZCJ, Kujawa J, Grzegorzewski A. Quality of life and functional disability in skeletally mature patients with myelomeningocele-related spinal deformity. </w:t>
      </w:r>
      <w:r w:rsidRPr="004071FD">
        <w:rPr>
          <w:rFonts w:ascii="Times New Roman" w:hAnsi="Times New Roman" w:cs="Times New Roman"/>
          <w:sz w:val="24"/>
        </w:rPr>
        <w:t>J Pediatr Orthop</w:t>
      </w:r>
      <w:r w:rsidR="00DE511B">
        <w:rPr>
          <w:rFonts w:ascii="Times New Roman" w:hAnsi="Times New Roman" w:cs="Times New Roman"/>
          <w:sz w:val="24"/>
        </w:rPr>
        <w:t xml:space="preserve"> </w:t>
      </w:r>
      <w:r w:rsidRPr="004071FD">
        <w:rPr>
          <w:rFonts w:ascii="Times New Roman" w:hAnsi="Times New Roman" w:cs="Times New Roman"/>
          <w:sz w:val="24"/>
        </w:rPr>
        <w:t>B</w:t>
      </w:r>
      <w:r w:rsidRPr="00E3105B">
        <w:rPr>
          <w:rFonts w:ascii="Times New Roman" w:hAnsi="Times New Roman" w:cs="Times New Roman"/>
          <w:sz w:val="24"/>
        </w:rPr>
        <w:t>. 2013;</w:t>
      </w:r>
      <w:r w:rsidRPr="0092723B">
        <w:rPr>
          <w:rFonts w:ascii="Times New Roman" w:hAnsi="Times New Roman" w:cs="Times New Roman"/>
          <w:b/>
          <w:sz w:val="24"/>
        </w:rPr>
        <w:t>22(2)</w:t>
      </w:r>
      <w:r w:rsidRPr="00E3105B">
        <w:rPr>
          <w:rFonts w:ascii="Times New Roman" w:hAnsi="Times New Roman" w:cs="Times New Roman"/>
          <w:sz w:val="24"/>
        </w:rPr>
        <w:t>:106-9.</w:t>
      </w:r>
    </w:p>
    <w:p w14:paraId="1F815155" w14:textId="7383024B" w:rsidR="00E95AEF" w:rsidRPr="002D5EE7"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lastRenderedPageBreak/>
        <w:t>14.</w:t>
      </w:r>
      <w:r w:rsidR="0074722F">
        <w:rPr>
          <w:rFonts w:ascii="Times New Roman" w:hAnsi="Times New Roman" w:cs="Times New Roman"/>
          <w:sz w:val="24"/>
        </w:rPr>
        <w:t xml:space="preserve"> </w:t>
      </w:r>
      <w:r w:rsidRPr="00E3105B">
        <w:rPr>
          <w:rFonts w:ascii="Times New Roman" w:hAnsi="Times New Roman" w:cs="Times New Roman"/>
          <w:sz w:val="24"/>
        </w:rPr>
        <w:t xml:space="preserve">Wright JG, Smith PL, Owen JL, Fehlings D. Assessing Functional Outcomes of Children With Muscular Dystrophy and Scoliosis The Muscular Dystrophy Spine Questionnaire. </w:t>
      </w:r>
      <w:r w:rsidRPr="002D5EE7">
        <w:rPr>
          <w:rFonts w:ascii="Times New Roman" w:hAnsi="Times New Roman" w:cs="Times New Roman"/>
          <w:sz w:val="24"/>
        </w:rPr>
        <w:t>JPO. 2008;</w:t>
      </w:r>
      <w:r w:rsidRPr="0092723B">
        <w:rPr>
          <w:rFonts w:ascii="Times New Roman" w:hAnsi="Times New Roman" w:cs="Times New Roman"/>
          <w:b/>
          <w:sz w:val="24"/>
        </w:rPr>
        <w:t>28(8)</w:t>
      </w:r>
      <w:r w:rsidRPr="002D5EE7">
        <w:rPr>
          <w:rFonts w:ascii="Times New Roman" w:hAnsi="Times New Roman" w:cs="Times New Roman"/>
          <w:sz w:val="24"/>
        </w:rPr>
        <w:t>:840-5.</w:t>
      </w:r>
    </w:p>
    <w:p w14:paraId="3F19FE06" w14:textId="74F78105" w:rsidR="00E95AEF" w:rsidRPr="002D5EE7" w:rsidRDefault="00E95AEF" w:rsidP="005D360F">
      <w:pPr>
        <w:pStyle w:val="EndNoteBibliography"/>
        <w:spacing w:after="0" w:line="360" w:lineRule="auto"/>
        <w:jc w:val="left"/>
        <w:rPr>
          <w:rFonts w:ascii="Times New Roman" w:hAnsi="Times New Roman" w:cs="Times New Roman"/>
          <w:sz w:val="24"/>
        </w:rPr>
      </w:pPr>
      <w:r w:rsidRPr="002D5EE7">
        <w:rPr>
          <w:rFonts w:ascii="Times New Roman" w:hAnsi="Times New Roman" w:cs="Times New Roman"/>
          <w:sz w:val="24"/>
        </w:rPr>
        <w:t>15.</w:t>
      </w:r>
      <w:r w:rsidR="0074722F">
        <w:rPr>
          <w:rFonts w:ascii="Times New Roman" w:hAnsi="Times New Roman" w:cs="Times New Roman"/>
          <w:sz w:val="24"/>
        </w:rPr>
        <w:t xml:space="preserve"> </w:t>
      </w:r>
      <w:r w:rsidRPr="002D5EE7">
        <w:rPr>
          <w:rFonts w:ascii="Times New Roman" w:hAnsi="Times New Roman" w:cs="Times New Roman"/>
          <w:sz w:val="24"/>
        </w:rPr>
        <w:t>Dillon ER, Bjornson KF, Jaffe KM, Hall JG, Song K. Ambulatory Activity in Youth With Arthrogryposis A Cohort Study. JPO. 2009;</w:t>
      </w:r>
      <w:r w:rsidRPr="0092723B">
        <w:rPr>
          <w:rFonts w:ascii="Times New Roman" w:hAnsi="Times New Roman" w:cs="Times New Roman"/>
          <w:b/>
          <w:sz w:val="24"/>
        </w:rPr>
        <w:t>29(2)</w:t>
      </w:r>
      <w:r w:rsidRPr="002D5EE7">
        <w:rPr>
          <w:rFonts w:ascii="Times New Roman" w:hAnsi="Times New Roman" w:cs="Times New Roman"/>
          <w:sz w:val="24"/>
        </w:rPr>
        <w:t>:214-7.</w:t>
      </w:r>
    </w:p>
    <w:p w14:paraId="63330558" w14:textId="48C47E7F" w:rsidR="00E95AEF" w:rsidRPr="00E3105B" w:rsidRDefault="00E95AEF" w:rsidP="005D360F">
      <w:pPr>
        <w:pStyle w:val="EndNoteBibliography"/>
        <w:spacing w:after="0" w:line="360" w:lineRule="auto"/>
        <w:jc w:val="left"/>
        <w:rPr>
          <w:rFonts w:ascii="Times New Roman" w:hAnsi="Times New Roman" w:cs="Times New Roman"/>
          <w:sz w:val="24"/>
        </w:rPr>
      </w:pPr>
      <w:r w:rsidRPr="002D5EE7">
        <w:rPr>
          <w:rFonts w:ascii="Times New Roman" w:hAnsi="Times New Roman" w:cs="Times New Roman"/>
          <w:sz w:val="24"/>
        </w:rPr>
        <w:t>16.</w:t>
      </w:r>
      <w:r w:rsidR="0074722F">
        <w:rPr>
          <w:rFonts w:ascii="Times New Roman" w:hAnsi="Times New Roman" w:cs="Times New Roman"/>
          <w:sz w:val="24"/>
        </w:rPr>
        <w:t xml:space="preserve"> </w:t>
      </w:r>
      <w:r w:rsidRPr="002D5EE7">
        <w:rPr>
          <w:rFonts w:ascii="Times New Roman" w:hAnsi="Times New Roman" w:cs="Times New Roman"/>
          <w:sz w:val="24"/>
        </w:rPr>
        <w:t>Piscione PJ, Davis AM, Young NL. An Ex</w:t>
      </w:r>
      <w:r w:rsidRPr="00E3105B">
        <w:rPr>
          <w:rFonts w:ascii="Times New Roman" w:hAnsi="Times New Roman" w:cs="Times New Roman"/>
          <w:sz w:val="24"/>
        </w:rPr>
        <w:t xml:space="preserve">amination of Adolescent Bone Tumor Patient Responses on the Activities Scale for Kids (ASK). </w:t>
      </w:r>
      <w:r w:rsidRPr="004071FD">
        <w:rPr>
          <w:rFonts w:ascii="Times New Roman" w:hAnsi="Times New Roman" w:cs="Times New Roman"/>
          <w:sz w:val="24"/>
        </w:rPr>
        <w:t>Phys Occup Ther Pediat</w:t>
      </w:r>
      <w:r w:rsidRPr="00E3105B">
        <w:rPr>
          <w:rFonts w:ascii="Times New Roman" w:hAnsi="Times New Roman" w:cs="Times New Roman"/>
          <w:sz w:val="24"/>
        </w:rPr>
        <w:t>. 2014;</w:t>
      </w:r>
      <w:r w:rsidRPr="0092723B">
        <w:rPr>
          <w:rFonts w:ascii="Times New Roman" w:hAnsi="Times New Roman" w:cs="Times New Roman"/>
          <w:b/>
          <w:sz w:val="24"/>
        </w:rPr>
        <w:t>34(2)</w:t>
      </w:r>
      <w:r w:rsidRPr="00E3105B">
        <w:rPr>
          <w:rFonts w:ascii="Times New Roman" w:hAnsi="Times New Roman" w:cs="Times New Roman"/>
          <w:sz w:val="24"/>
        </w:rPr>
        <w:t>:213-28.</w:t>
      </w:r>
    </w:p>
    <w:p w14:paraId="3760E0A7" w14:textId="1D62A115"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17.</w:t>
      </w:r>
      <w:r w:rsidR="0074722F">
        <w:rPr>
          <w:rFonts w:ascii="Times New Roman" w:hAnsi="Times New Roman" w:cs="Times New Roman"/>
          <w:sz w:val="24"/>
        </w:rPr>
        <w:t xml:space="preserve"> </w:t>
      </w:r>
      <w:r w:rsidRPr="00E3105B">
        <w:rPr>
          <w:rFonts w:ascii="Times New Roman" w:hAnsi="Times New Roman" w:cs="Times New Roman"/>
          <w:sz w:val="24"/>
        </w:rPr>
        <w:t xml:space="preserve">Groen WG, van der Net J, Helders PJ, Fischer K. Development and preliminary testing of a Paediatric Version of the Haemophilia Activities List (pedhal). </w:t>
      </w:r>
      <w:r w:rsidRPr="00E42BA6">
        <w:rPr>
          <w:rFonts w:ascii="Times New Roman" w:hAnsi="Times New Roman" w:cs="Times New Roman"/>
          <w:sz w:val="24"/>
        </w:rPr>
        <w:t>Haemoph</w:t>
      </w:r>
      <w:r w:rsidR="00E42BA6" w:rsidRPr="00E42BA6">
        <w:rPr>
          <w:rFonts w:ascii="Times New Roman" w:hAnsi="Times New Roman" w:cs="Times New Roman"/>
          <w:sz w:val="24"/>
        </w:rPr>
        <w:t>ilia</w:t>
      </w:r>
      <w:r w:rsidRPr="00E42BA6">
        <w:rPr>
          <w:rFonts w:ascii="Times New Roman" w:hAnsi="Times New Roman" w:cs="Times New Roman"/>
          <w:sz w:val="24"/>
        </w:rPr>
        <w:t>. 2010</w:t>
      </w:r>
      <w:r w:rsidRPr="00E3105B">
        <w:rPr>
          <w:rFonts w:ascii="Times New Roman" w:hAnsi="Times New Roman" w:cs="Times New Roman"/>
          <w:sz w:val="24"/>
        </w:rPr>
        <w:t>;</w:t>
      </w:r>
      <w:r w:rsidRPr="0092723B">
        <w:rPr>
          <w:rFonts w:ascii="Times New Roman" w:hAnsi="Times New Roman" w:cs="Times New Roman"/>
          <w:b/>
          <w:sz w:val="24"/>
        </w:rPr>
        <w:t>16(2)</w:t>
      </w:r>
      <w:r w:rsidRPr="00E3105B">
        <w:rPr>
          <w:rFonts w:ascii="Times New Roman" w:hAnsi="Times New Roman" w:cs="Times New Roman"/>
          <w:sz w:val="24"/>
        </w:rPr>
        <w:t>:281-9.</w:t>
      </w:r>
    </w:p>
    <w:p w14:paraId="1A973EC9" w14:textId="1019E48A"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18.</w:t>
      </w:r>
      <w:r w:rsidR="0074722F">
        <w:rPr>
          <w:rFonts w:ascii="Times New Roman" w:hAnsi="Times New Roman" w:cs="Times New Roman"/>
          <w:sz w:val="24"/>
        </w:rPr>
        <w:t xml:space="preserve"> </w:t>
      </w:r>
      <w:r w:rsidRPr="00E3105B">
        <w:rPr>
          <w:rFonts w:ascii="Times New Roman" w:hAnsi="Times New Roman" w:cs="Times New Roman"/>
          <w:sz w:val="24"/>
        </w:rPr>
        <w:t xml:space="preserve">Harvey A, Robin J, Morris ME, Graham HK, Baker R. A systematic review of measures of activity limitation for children with cerebral palsy. </w:t>
      </w:r>
      <w:r w:rsidR="00DE511B" w:rsidRPr="004071FD">
        <w:rPr>
          <w:rFonts w:ascii="Times New Roman" w:hAnsi="Times New Roman" w:cs="Times New Roman"/>
          <w:sz w:val="24"/>
        </w:rPr>
        <w:t>Dev Med</w:t>
      </w:r>
      <w:r w:rsidR="00DE511B">
        <w:rPr>
          <w:rFonts w:ascii="Times New Roman" w:hAnsi="Times New Roman" w:cs="Times New Roman"/>
          <w:sz w:val="24"/>
        </w:rPr>
        <w:t xml:space="preserve"> </w:t>
      </w:r>
      <w:r w:rsidR="00DE511B" w:rsidRPr="004071FD">
        <w:rPr>
          <w:rFonts w:ascii="Times New Roman" w:hAnsi="Times New Roman" w:cs="Times New Roman"/>
          <w:sz w:val="24"/>
        </w:rPr>
        <w:t>Child</w:t>
      </w:r>
      <w:r w:rsidR="00DE511B">
        <w:rPr>
          <w:rFonts w:ascii="Times New Roman" w:hAnsi="Times New Roman" w:cs="Times New Roman"/>
          <w:sz w:val="24"/>
        </w:rPr>
        <w:t xml:space="preserve"> </w:t>
      </w:r>
      <w:r w:rsidR="00DE511B" w:rsidRPr="004071FD">
        <w:rPr>
          <w:rFonts w:ascii="Times New Roman" w:hAnsi="Times New Roman" w:cs="Times New Roman"/>
          <w:sz w:val="24"/>
        </w:rPr>
        <w:t>Neurol</w:t>
      </w:r>
      <w:r w:rsidRPr="00E3105B">
        <w:rPr>
          <w:rFonts w:ascii="Times New Roman" w:hAnsi="Times New Roman" w:cs="Times New Roman"/>
          <w:sz w:val="24"/>
        </w:rPr>
        <w:t>. 2008;</w:t>
      </w:r>
      <w:r w:rsidRPr="0092723B">
        <w:rPr>
          <w:rFonts w:ascii="Times New Roman" w:hAnsi="Times New Roman" w:cs="Times New Roman"/>
          <w:b/>
          <w:sz w:val="24"/>
        </w:rPr>
        <w:t>50(3)</w:t>
      </w:r>
      <w:r w:rsidRPr="00E3105B">
        <w:rPr>
          <w:rFonts w:ascii="Times New Roman" w:hAnsi="Times New Roman" w:cs="Times New Roman"/>
          <w:sz w:val="24"/>
        </w:rPr>
        <w:t>:190-8.</w:t>
      </w:r>
    </w:p>
    <w:p w14:paraId="37506FE0" w14:textId="466CA933" w:rsidR="00E95AEF" w:rsidRPr="00017227" w:rsidRDefault="00E95AEF" w:rsidP="005D360F">
      <w:pPr>
        <w:pStyle w:val="EndNoteBibliography"/>
        <w:spacing w:after="0" w:line="360" w:lineRule="auto"/>
        <w:jc w:val="left"/>
        <w:rPr>
          <w:rFonts w:ascii="Times New Roman" w:hAnsi="Times New Roman" w:cs="Times New Roman"/>
          <w:sz w:val="24"/>
        </w:rPr>
      </w:pPr>
      <w:r w:rsidRPr="00017227">
        <w:rPr>
          <w:rFonts w:ascii="Times New Roman" w:hAnsi="Times New Roman" w:cs="Times New Roman"/>
          <w:sz w:val="24"/>
        </w:rPr>
        <w:t>19.</w:t>
      </w:r>
      <w:r w:rsidR="0074722F">
        <w:rPr>
          <w:rFonts w:ascii="Times New Roman" w:hAnsi="Times New Roman" w:cs="Times New Roman"/>
          <w:sz w:val="24"/>
        </w:rPr>
        <w:t xml:space="preserve"> </w:t>
      </w:r>
      <w:r w:rsidRPr="00017227">
        <w:rPr>
          <w:rFonts w:ascii="Times New Roman" w:hAnsi="Times New Roman" w:cs="Times New Roman"/>
          <w:sz w:val="24"/>
        </w:rPr>
        <w:t xml:space="preserve">Klepper SE. Measures of Pediatric Function. </w:t>
      </w:r>
      <w:r w:rsidRPr="004071FD">
        <w:rPr>
          <w:rFonts w:ascii="Times New Roman" w:hAnsi="Times New Roman" w:cs="Times New Roman"/>
          <w:sz w:val="24"/>
        </w:rPr>
        <w:t>Arthritis</w:t>
      </w:r>
      <w:r w:rsidR="00DE511B">
        <w:rPr>
          <w:rFonts w:ascii="Times New Roman" w:hAnsi="Times New Roman" w:cs="Times New Roman"/>
          <w:sz w:val="24"/>
        </w:rPr>
        <w:t xml:space="preserve"> </w:t>
      </w:r>
      <w:r w:rsidRPr="004071FD">
        <w:rPr>
          <w:rFonts w:ascii="Times New Roman" w:hAnsi="Times New Roman" w:cs="Times New Roman"/>
          <w:sz w:val="24"/>
        </w:rPr>
        <w:t>Care</w:t>
      </w:r>
      <w:r w:rsidR="00DE511B">
        <w:rPr>
          <w:rFonts w:ascii="Times New Roman" w:hAnsi="Times New Roman" w:cs="Times New Roman"/>
          <w:sz w:val="24"/>
        </w:rPr>
        <w:t xml:space="preserve"> </w:t>
      </w:r>
      <w:r w:rsidRPr="004071FD">
        <w:rPr>
          <w:rFonts w:ascii="Times New Roman" w:hAnsi="Times New Roman" w:cs="Times New Roman"/>
          <w:sz w:val="24"/>
        </w:rPr>
        <w:t>Res</w:t>
      </w:r>
      <w:r w:rsidRPr="00017227">
        <w:rPr>
          <w:rFonts w:ascii="Times New Roman" w:hAnsi="Times New Roman" w:cs="Times New Roman"/>
          <w:sz w:val="24"/>
        </w:rPr>
        <w:t>. 2011;</w:t>
      </w:r>
      <w:r w:rsidRPr="0092723B">
        <w:rPr>
          <w:rFonts w:ascii="Times New Roman" w:hAnsi="Times New Roman" w:cs="Times New Roman"/>
          <w:b/>
          <w:sz w:val="24"/>
        </w:rPr>
        <w:t>63</w:t>
      </w:r>
      <w:r w:rsidRPr="00017227">
        <w:rPr>
          <w:rFonts w:ascii="Times New Roman" w:hAnsi="Times New Roman" w:cs="Times New Roman"/>
          <w:sz w:val="24"/>
        </w:rPr>
        <w:t>:S371-S82.</w:t>
      </w:r>
    </w:p>
    <w:p w14:paraId="23E0A976" w14:textId="18283562" w:rsidR="00E95AEF" w:rsidRPr="00E3105B" w:rsidRDefault="00E95AEF" w:rsidP="005D360F">
      <w:pPr>
        <w:pStyle w:val="EndNoteBibliography"/>
        <w:spacing w:after="0" w:line="360" w:lineRule="auto"/>
        <w:jc w:val="left"/>
        <w:rPr>
          <w:rFonts w:ascii="Times New Roman" w:hAnsi="Times New Roman" w:cs="Times New Roman"/>
          <w:sz w:val="24"/>
        </w:rPr>
      </w:pPr>
      <w:r w:rsidRPr="00017227">
        <w:rPr>
          <w:rFonts w:ascii="Times New Roman" w:hAnsi="Times New Roman" w:cs="Times New Roman"/>
          <w:sz w:val="24"/>
        </w:rPr>
        <w:t>20.</w:t>
      </w:r>
      <w:r w:rsidR="0074722F">
        <w:rPr>
          <w:rFonts w:ascii="Times New Roman" w:hAnsi="Times New Roman" w:cs="Times New Roman"/>
          <w:sz w:val="24"/>
        </w:rPr>
        <w:t xml:space="preserve"> </w:t>
      </w:r>
      <w:r w:rsidRPr="00017227">
        <w:rPr>
          <w:rFonts w:ascii="Times New Roman" w:hAnsi="Times New Roman" w:cs="Times New Roman"/>
          <w:sz w:val="24"/>
        </w:rPr>
        <w:t>Young NL, Williams JI, Yoshida KK, Wright JG. Measurement properties of the Activities Scale for Kids. J Clin Epidemiol.</w:t>
      </w:r>
      <w:r w:rsidRPr="00E3105B">
        <w:rPr>
          <w:rFonts w:ascii="Times New Roman" w:hAnsi="Times New Roman" w:cs="Times New Roman"/>
          <w:sz w:val="24"/>
        </w:rPr>
        <w:t xml:space="preserve"> 2000;</w:t>
      </w:r>
      <w:r w:rsidRPr="0092723B">
        <w:rPr>
          <w:rFonts w:ascii="Times New Roman" w:hAnsi="Times New Roman" w:cs="Times New Roman"/>
          <w:b/>
          <w:sz w:val="24"/>
        </w:rPr>
        <w:t>53(2):</w:t>
      </w:r>
      <w:r w:rsidRPr="00E3105B">
        <w:rPr>
          <w:rFonts w:ascii="Times New Roman" w:hAnsi="Times New Roman" w:cs="Times New Roman"/>
          <w:sz w:val="24"/>
        </w:rPr>
        <w:t>125-37.</w:t>
      </w:r>
    </w:p>
    <w:p w14:paraId="7CD1D979" w14:textId="373EFB3D"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21.</w:t>
      </w:r>
      <w:r w:rsidR="0074722F">
        <w:rPr>
          <w:rFonts w:ascii="Times New Roman" w:hAnsi="Times New Roman" w:cs="Times New Roman"/>
          <w:sz w:val="24"/>
        </w:rPr>
        <w:t xml:space="preserve"> </w:t>
      </w:r>
      <w:r w:rsidRPr="00E3105B">
        <w:rPr>
          <w:rFonts w:ascii="Times New Roman" w:hAnsi="Times New Roman" w:cs="Times New Roman"/>
          <w:sz w:val="24"/>
        </w:rPr>
        <w:t>Pencharz J, Young NL, Owen JL, Wright JG. Comparison of three outcomes instruments in children. J</w:t>
      </w:r>
      <w:r>
        <w:rPr>
          <w:rFonts w:ascii="Times New Roman" w:hAnsi="Times New Roman" w:cs="Times New Roman"/>
          <w:sz w:val="24"/>
        </w:rPr>
        <w:t>PO</w:t>
      </w:r>
      <w:r w:rsidRPr="00E3105B">
        <w:rPr>
          <w:rFonts w:ascii="Times New Roman" w:hAnsi="Times New Roman" w:cs="Times New Roman"/>
          <w:sz w:val="24"/>
        </w:rPr>
        <w:t>. 2001;</w:t>
      </w:r>
      <w:r w:rsidRPr="0092723B">
        <w:rPr>
          <w:rFonts w:ascii="Times New Roman" w:hAnsi="Times New Roman" w:cs="Times New Roman"/>
          <w:b/>
          <w:sz w:val="24"/>
        </w:rPr>
        <w:t>21(4)</w:t>
      </w:r>
      <w:r w:rsidRPr="00E3105B">
        <w:rPr>
          <w:rFonts w:ascii="Times New Roman" w:hAnsi="Times New Roman" w:cs="Times New Roman"/>
          <w:sz w:val="24"/>
        </w:rPr>
        <w:t>:425-32.</w:t>
      </w:r>
    </w:p>
    <w:p w14:paraId="1990ED59" w14:textId="5A1B8F32"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22.</w:t>
      </w:r>
      <w:r w:rsidR="0074722F">
        <w:rPr>
          <w:rFonts w:ascii="Times New Roman" w:hAnsi="Times New Roman" w:cs="Times New Roman"/>
          <w:sz w:val="24"/>
        </w:rPr>
        <w:t xml:space="preserve"> </w:t>
      </w:r>
      <w:r w:rsidRPr="00E3105B">
        <w:rPr>
          <w:rFonts w:ascii="Times New Roman" w:hAnsi="Times New Roman" w:cs="Times New Roman"/>
          <w:sz w:val="24"/>
        </w:rPr>
        <w:t xml:space="preserve">Paixao D, Cavalheiro LM, Goncalves RS, Ferreira PL. Portuguese cultural adaptation and validation of the Activities Scale for Kids (ASK). </w:t>
      </w:r>
      <w:r w:rsidRPr="004071FD">
        <w:rPr>
          <w:rFonts w:ascii="Times New Roman" w:hAnsi="Times New Roman" w:cs="Times New Roman"/>
          <w:sz w:val="24"/>
        </w:rPr>
        <w:t>J. Pediatr.</w:t>
      </w:r>
      <w:r w:rsidRPr="00E3105B">
        <w:rPr>
          <w:rFonts w:ascii="Times New Roman" w:hAnsi="Times New Roman" w:cs="Times New Roman"/>
          <w:sz w:val="24"/>
        </w:rPr>
        <w:t xml:space="preserve"> 2016;</w:t>
      </w:r>
      <w:r w:rsidRPr="0092723B">
        <w:rPr>
          <w:rFonts w:ascii="Times New Roman" w:hAnsi="Times New Roman" w:cs="Times New Roman"/>
          <w:b/>
          <w:sz w:val="24"/>
        </w:rPr>
        <w:t>92(4)</w:t>
      </w:r>
      <w:r w:rsidRPr="00E3105B">
        <w:rPr>
          <w:rFonts w:ascii="Times New Roman" w:hAnsi="Times New Roman" w:cs="Times New Roman"/>
          <w:sz w:val="24"/>
        </w:rPr>
        <w:t>:367-73.</w:t>
      </w:r>
    </w:p>
    <w:p w14:paraId="67EE2282" w14:textId="44042581" w:rsidR="00E95AEF" w:rsidRPr="00E3105B" w:rsidRDefault="00E95AEF" w:rsidP="005D360F">
      <w:pPr>
        <w:pStyle w:val="EndNoteBibliography"/>
        <w:spacing w:after="0" w:line="360" w:lineRule="auto"/>
        <w:jc w:val="left"/>
        <w:rPr>
          <w:rFonts w:ascii="Times New Roman" w:hAnsi="Times New Roman" w:cs="Times New Roman"/>
          <w:sz w:val="24"/>
        </w:rPr>
      </w:pPr>
      <w:r w:rsidRPr="00E3105B">
        <w:rPr>
          <w:rFonts w:ascii="Times New Roman" w:hAnsi="Times New Roman" w:cs="Times New Roman"/>
          <w:sz w:val="24"/>
        </w:rPr>
        <w:t>23.</w:t>
      </w:r>
      <w:r w:rsidR="0074722F">
        <w:rPr>
          <w:rFonts w:ascii="Times New Roman" w:hAnsi="Times New Roman" w:cs="Times New Roman"/>
          <w:sz w:val="24"/>
        </w:rPr>
        <w:t xml:space="preserve"> </w:t>
      </w:r>
      <w:r w:rsidRPr="00E3105B">
        <w:rPr>
          <w:rFonts w:ascii="Times New Roman" w:hAnsi="Times New Roman" w:cs="Times New Roman"/>
          <w:sz w:val="24"/>
        </w:rPr>
        <w:t>Fabbri L, Neviani R, Festini F, Costi S. Transcultural validation of Activities Scale for Kids (ASK): translation and pilot test</w:t>
      </w:r>
      <w:r w:rsidRPr="00E42BA6">
        <w:rPr>
          <w:rFonts w:ascii="Times New Roman" w:hAnsi="Times New Roman" w:cs="Times New Roman"/>
          <w:sz w:val="24"/>
        </w:rPr>
        <w:t>. Acta bio-medica : Atenei Parmensis.</w:t>
      </w:r>
      <w:r w:rsidRPr="00E3105B">
        <w:rPr>
          <w:rFonts w:ascii="Times New Roman" w:hAnsi="Times New Roman" w:cs="Times New Roman"/>
          <w:sz w:val="24"/>
        </w:rPr>
        <w:t xml:space="preserve"> 2016;</w:t>
      </w:r>
      <w:r w:rsidRPr="005E5DDB">
        <w:rPr>
          <w:rFonts w:ascii="Times New Roman" w:hAnsi="Times New Roman" w:cs="Times New Roman"/>
          <w:b/>
          <w:sz w:val="24"/>
        </w:rPr>
        <w:t>87 Suppl 2:</w:t>
      </w:r>
      <w:r w:rsidRPr="00E3105B">
        <w:rPr>
          <w:rFonts w:ascii="Times New Roman" w:hAnsi="Times New Roman" w:cs="Times New Roman"/>
          <w:sz w:val="24"/>
        </w:rPr>
        <w:t>70-9.</w:t>
      </w:r>
    </w:p>
    <w:p w14:paraId="35AEB164" w14:textId="4D5E5826" w:rsidR="00E95AEF" w:rsidRPr="004C2339" w:rsidRDefault="00E95AEF" w:rsidP="005D360F">
      <w:pPr>
        <w:pStyle w:val="EndNoteBibliography"/>
        <w:spacing w:after="0" w:line="360" w:lineRule="auto"/>
        <w:jc w:val="left"/>
        <w:rPr>
          <w:rFonts w:ascii="Times New Roman" w:hAnsi="Times New Roman" w:cs="Times New Roman"/>
          <w:sz w:val="24"/>
          <w:lang w:val="es-ES"/>
        </w:rPr>
      </w:pPr>
      <w:r w:rsidRPr="00E3105B">
        <w:rPr>
          <w:rFonts w:ascii="Times New Roman" w:hAnsi="Times New Roman" w:cs="Times New Roman"/>
          <w:sz w:val="24"/>
        </w:rPr>
        <w:t>24.</w:t>
      </w:r>
      <w:r w:rsidR="0074722F">
        <w:rPr>
          <w:rFonts w:ascii="Times New Roman" w:hAnsi="Times New Roman" w:cs="Times New Roman"/>
          <w:sz w:val="24"/>
        </w:rPr>
        <w:t xml:space="preserve"> </w:t>
      </w:r>
      <w:r w:rsidRPr="00E3105B">
        <w:rPr>
          <w:rFonts w:ascii="Times New Roman" w:hAnsi="Times New Roman" w:cs="Times New Roman"/>
          <w:sz w:val="24"/>
        </w:rPr>
        <w:t xml:space="preserve">Ho P-C, Chang C-H, Granlund M, Hwang A-W. The Relationships Between Capacity and Performance in Youths With Cerebral Palsy Differ for GMFCS Levels. </w:t>
      </w:r>
      <w:r w:rsidRPr="004C2339">
        <w:rPr>
          <w:rFonts w:ascii="Times New Roman" w:hAnsi="Times New Roman" w:cs="Times New Roman"/>
          <w:sz w:val="24"/>
          <w:lang w:val="es-ES"/>
        </w:rPr>
        <w:t>Pediatr Phys Ther. 2017;</w:t>
      </w:r>
      <w:r w:rsidRPr="004C2339">
        <w:rPr>
          <w:rFonts w:ascii="Times New Roman" w:hAnsi="Times New Roman" w:cs="Times New Roman"/>
          <w:b/>
          <w:sz w:val="24"/>
          <w:lang w:val="es-ES"/>
        </w:rPr>
        <w:t>29(1)</w:t>
      </w:r>
      <w:r w:rsidRPr="004C2339">
        <w:rPr>
          <w:rFonts w:ascii="Times New Roman" w:hAnsi="Times New Roman" w:cs="Times New Roman"/>
          <w:sz w:val="24"/>
          <w:lang w:val="es-ES"/>
        </w:rPr>
        <w:t>:23-9.</w:t>
      </w:r>
    </w:p>
    <w:p w14:paraId="092A0DF3" w14:textId="20A8010A" w:rsidR="0092723B" w:rsidRPr="004C2339" w:rsidRDefault="00E95AEF" w:rsidP="005D360F">
      <w:pPr>
        <w:pStyle w:val="EndNoteBibliography"/>
        <w:spacing w:after="0" w:line="360" w:lineRule="auto"/>
        <w:jc w:val="left"/>
        <w:rPr>
          <w:rFonts w:ascii="Times New Roman" w:hAnsi="Times New Roman" w:cs="Times New Roman"/>
          <w:sz w:val="24"/>
          <w:lang w:val="en-GB"/>
        </w:rPr>
      </w:pPr>
      <w:r w:rsidRPr="0092723B">
        <w:rPr>
          <w:rFonts w:ascii="Times New Roman" w:hAnsi="Times New Roman" w:cs="Times New Roman"/>
          <w:sz w:val="24"/>
          <w:lang w:val="es-ES"/>
        </w:rPr>
        <w:t>25.</w:t>
      </w:r>
      <w:r w:rsidR="0074722F" w:rsidRPr="0092723B">
        <w:rPr>
          <w:rFonts w:ascii="Times New Roman" w:hAnsi="Times New Roman" w:cs="Times New Roman"/>
          <w:sz w:val="24"/>
          <w:lang w:val="es-ES"/>
        </w:rPr>
        <w:t xml:space="preserve"> </w:t>
      </w:r>
      <w:r w:rsidR="0092723B" w:rsidRPr="0092723B">
        <w:rPr>
          <w:rFonts w:ascii="Times New Roman" w:hAnsi="Times New Roman" w:cs="Times New Roman"/>
          <w:sz w:val="24"/>
          <w:lang w:val="es-ES"/>
        </w:rPr>
        <w:t>Cardoso Ribeiro C, Gómez-C</w:t>
      </w:r>
      <w:r w:rsidR="0092723B">
        <w:rPr>
          <w:rFonts w:ascii="Times New Roman" w:hAnsi="Times New Roman" w:cs="Times New Roman"/>
          <w:sz w:val="24"/>
          <w:lang w:val="es-ES"/>
        </w:rPr>
        <w:t>onesa A, Hidalgo Montesinos, MD. Metodología para la adaptación de instrumentos de evaluación</w:t>
      </w:r>
      <w:r w:rsidR="0092723B" w:rsidRPr="00E42BA6">
        <w:rPr>
          <w:rFonts w:ascii="Times New Roman" w:hAnsi="Times New Roman" w:cs="Times New Roman"/>
          <w:sz w:val="24"/>
          <w:lang w:val="es-ES"/>
        </w:rPr>
        <w:t xml:space="preserve">. </w:t>
      </w:r>
      <w:r w:rsidR="0092723B" w:rsidRPr="00E42BA6">
        <w:rPr>
          <w:rFonts w:ascii="Times New Roman" w:hAnsi="Times New Roman" w:cs="Times New Roman"/>
          <w:sz w:val="24"/>
          <w:lang w:val="en-GB"/>
        </w:rPr>
        <w:t>Fisioter</w:t>
      </w:r>
      <w:r w:rsidR="00E42BA6">
        <w:rPr>
          <w:rFonts w:ascii="Times New Roman" w:hAnsi="Times New Roman" w:cs="Times New Roman"/>
          <w:sz w:val="24"/>
          <w:lang w:val="en-GB"/>
        </w:rPr>
        <w:t>apia</w:t>
      </w:r>
      <w:r w:rsidR="0092723B" w:rsidRPr="00E42BA6">
        <w:rPr>
          <w:rFonts w:ascii="Times New Roman" w:hAnsi="Times New Roman" w:cs="Times New Roman"/>
          <w:sz w:val="24"/>
          <w:lang w:val="en-GB"/>
        </w:rPr>
        <w:t>.</w:t>
      </w:r>
      <w:r w:rsidR="0092723B" w:rsidRPr="004C2339">
        <w:rPr>
          <w:rFonts w:ascii="Times New Roman" w:hAnsi="Times New Roman" w:cs="Times New Roman"/>
          <w:sz w:val="24"/>
          <w:lang w:val="en-GB"/>
        </w:rPr>
        <w:t xml:space="preserve"> 2010;</w:t>
      </w:r>
      <w:r w:rsidR="0092723B" w:rsidRPr="004C2339">
        <w:rPr>
          <w:rFonts w:ascii="Times New Roman" w:hAnsi="Times New Roman" w:cs="Times New Roman"/>
          <w:b/>
          <w:sz w:val="24"/>
          <w:lang w:val="en-GB"/>
        </w:rPr>
        <w:t>32(6)</w:t>
      </w:r>
      <w:r w:rsidR="0092723B" w:rsidRPr="004C2339">
        <w:rPr>
          <w:rFonts w:ascii="Times New Roman" w:hAnsi="Times New Roman" w:cs="Times New Roman"/>
          <w:sz w:val="24"/>
          <w:lang w:val="en-GB"/>
        </w:rPr>
        <w:t>:264-270.</w:t>
      </w:r>
      <w:r w:rsidR="005E5DDB" w:rsidRPr="004C2339">
        <w:rPr>
          <w:rFonts w:ascii="Times New Roman" w:hAnsi="Times New Roman" w:cs="Times New Roman"/>
          <w:sz w:val="24"/>
          <w:lang w:val="en-GB"/>
        </w:rPr>
        <w:t xml:space="preserve"> </w:t>
      </w:r>
      <w:r w:rsidR="005E5DDB" w:rsidRPr="005E5DDB">
        <w:rPr>
          <w:rFonts w:ascii="Arial" w:hAnsi="Arial" w:cs="Arial"/>
          <w:color w:val="222222"/>
          <w:shd w:val="clear" w:color="auto" w:fill="FFFFFF"/>
        </w:rPr>
        <w:t>DOI: 10.1016/j.ft.2010.05.001</w:t>
      </w:r>
    </w:p>
    <w:p w14:paraId="09D80CD8" w14:textId="109680AD" w:rsidR="00E95AEF" w:rsidRDefault="0092723B" w:rsidP="005D360F">
      <w:pPr>
        <w:pStyle w:val="EndNoteBibliography"/>
        <w:spacing w:after="0" w:line="360" w:lineRule="auto"/>
        <w:jc w:val="left"/>
        <w:rPr>
          <w:rFonts w:ascii="Times New Roman" w:hAnsi="Times New Roman" w:cs="Times New Roman"/>
          <w:sz w:val="24"/>
        </w:rPr>
      </w:pPr>
      <w:r>
        <w:rPr>
          <w:rFonts w:ascii="Times New Roman" w:hAnsi="Times New Roman" w:cs="Times New Roman"/>
          <w:sz w:val="24"/>
        </w:rPr>
        <w:t xml:space="preserve">26. </w:t>
      </w:r>
      <w:r w:rsidR="00E95AEF" w:rsidRPr="00E3105B">
        <w:rPr>
          <w:rFonts w:ascii="Times New Roman" w:hAnsi="Times New Roman" w:cs="Times New Roman"/>
          <w:sz w:val="24"/>
        </w:rPr>
        <w:t xml:space="preserve">Wild D, Grove A, Martin M, Eremenco S, McElroy S, Verjee-Lorenz A, et al. Principles of Good Practice for the Translation and Cultural Adaptation Process for </w:t>
      </w:r>
      <w:r w:rsidR="00E95AEF" w:rsidRPr="00E3105B">
        <w:rPr>
          <w:rFonts w:ascii="Times New Roman" w:hAnsi="Times New Roman" w:cs="Times New Roman"/>
          <w:sz w:val="24"/>
        </w:rPr>
        <w:lastRenderedPageBreak/>
        <w:t>Patient-Reported Outcomes (PRO) Measures: report of the ISPOR Task Force for Translation and Cultural Adaptation. V</w:t>
      </w:r>
      <w:r w:rsidR="00E95AEF" w:rsidRPr="0054340D">
        <w:rPr>
          <w:rFonts w:ascii="Times New Roman" w:hAnsi="Times New Roman" w:cs="Times New Roman"/>
          <w:sz w:val="24"/>
        </w:rPr>
        <w:t>alue Health. 2005;</w:t>
      </w:r>
      <w:r w:rsidR="00E95AEF" w:rsidRPr="005E5DDB">
        <w:rPr>
          <w:rFonts w:ascii="Times New Roman" w:hAnsi="Times New Roman" w:cs="Times New Roman"/>
          <w:b/>
          <w:sz w:val="24"/>
        </w:rPr>
        <w:t>8(2)</w:t>
      </w:r>
      <w:r w:rsidR="00E95AEF" w:rsidRPr="00E3105B">
        <w:rPr>
          <w:rFonts w:ascii="Times New Roman" w:hAnsi="Times New Roman" w:cs="Times New Roman"/>
          <w:sz w:val="24"/>
        </w:rPr>
        <w:t>:94-104.</w:t>
      </w:r>
    </w:p>
    <w:p w14:paraId="407160D5" w14:textId="54DF9518" w:rsidR="00E95AEF" w:rsidRPr="00E3105B" w:rsidRDefault="00E95AEF" w:rsidP="005D360F">
      <w:pPr>
        <w:pStyle w:val="EndNoteBibliography"/>
        <w:spacing w:after="0" w:line="360" w:lineRule="auto"/>
        <w:jc w:val="left"/>
        <w:rPr>
          <w:rFonts w:ascii="Times New Roman" w:hAnsi="Times New Roman" w:cs="Times New Roman"/>
          <w:sz w:val="24"/>
        </w:rPr>
      </w:pPr>
      <w:r w:rsidRPr="004071FD">
        <w:rPr>
          <w:rFonts w:ascii="Times New Roman" w:hAnsi="Times New Roman" w:cs="Times New Roman"/>
          <w:sz w:val="24"/>
        </w:rPr>
        <w:t>2</w:t>
      </w:r>
      <w:r w:rsidR="0092723B">
        <w:rPr>
          <w:rFonts w:ascii="Times New Roman" w:hAnsi="Times New Roman" w:cs="Times New Roman"/>
          <w:sz w:val="24"/>
        </w:rPr>
        <w:t>7</w:t>
      </w:r>
      <w:r>
        <w:rPr>
          <w:rFonts w:ascii="Times New Roman" w:hAnsi="Times New Roman" w:cs="Times New Roman"/>
          <w:sz w:val="24"/>
        </w:rPr>
        <w:t>.</w:t>
      </w:r>
      <w:r w:rsidR="0074722F">
        <w:rPr>
          <w:rFonts w:ascii="Times New Roman" w:hAnsi="Times New Roman" w:cs="Times New Roman"/>
          <w:sz w:val="24"/>
        </w:rPr>
        <w:t xml:space="preserve"> </w:t>
      </w:r>
      <w:r w:rsidRPr="004071FD">
        <w:rPr>
          <w:rFonts w:ascii="Times New Roman" w:hAnsi="Times New Roman" w:cs="Times New Roman"/>
          <w:sz w:val="24"/>
        </w:rPr>
        <w:t>Mokkink LB, Terwee CB, Patrick DL, Alonso J, Stratford PW, Knol DL, et al. The COSMIN checklist for assessing the methodological quality of studies on measurement properties of health status measurement instruments: an international Delphi study. Qual Life Res. 2010;</w:t>
      </w:r>
      <w:r w:rsidRPr="005E5DDB">
        <w:rPr>
          <w:rFonts w:ascii="Times New Roman" w:hAnsi="Times New Roman" w:cs="Times New Roman"/>
          <w:b/>
          <w:sz w:val="24"/>
        </w:rPr>
        <w:t>19(4)</w:t>
      </w:r>
      <w:r w:rsidRPr="004071FD">
        <w:rPr>
          <w:rFonts w:ascii="Times New Roman" w:hAnsi="Times New Roman" w:cs="Times New Roman"/>
          <w:sz w:val="24"/>
        </w:rPr>
        <w:t>:539-49.</w:t>
      </w:r>
    </w:p>
    <w:p w14:paraId="589CA537" w14:textId="10C62ABF" w:rsidR="00E95AEF" w:rsidRPr="004071FD" w:rsidRDefault="00E95AEF" w:rsidP="005D360F">
      <w:pPr>
        <w:pStyle w:val="EndNoteBibliography"/>
        <w:spacing w:after="0" w:line="360" w:lineRule="auto"/>
        <w:jc w:val="left"/>
        <w:rPr>
          <w:rFonts w:ascii="Times New Roman" w:hAnsi="Times New Roman" w:cs="Times New Roman"/>
          <w:sz w:val="24"/>
          <w:lang w:val="es-ES"/>
        </w:rPr>
      </w:pPr>
      <w:r>
        <w:rPr>
          <w:rFonts w:ascii="Times New Roman" w:hAnsi="Times New Roman" w:cs="Times New Roman"/>
          <w:sz w:val="24"/>
        </w:rPr>
        <w:t>2</w:t>
      </w:r>
      <w:r w:rsidR="0092723B">
        <w:rPr>
          <w:rFonts w:ascii="Times New Roman" w:hAnsi="Times New Roman" w:cs="Times New Roman"/>
          <w:sz w:val="24"/>
        </w:rPr>
        <w:t>8</w:t>
      </w:r>
      <w:r w:rsidRPr="00E3105B">
        <w:rPr>
          <w:rFonts w:ascii="Times New Roman" w:hAnsi="Times New Roman" w:cs="Times New Roman"/>
          <w:sz w:val="24"/>
        </w:rPr>
        <w:t>.</w:t>
      </w:r>
      <w:r w:rsidR="0074722F">
        <w:rPr>
          <w:rFonts w:ascii="Times New Roman" w:hAnsi="Times New Roman" w:cs="Times New Roman"/>
          <w:sz w:val="24"/>
        </w:rPr>
        <w:t xml:space="preserve"> </w:t>
      </w:r>
      <w:r w:rsidRPr="00E3105B">
        <w:rPr>
          <w:rFonts w:ascii="Times New Roman" w:hAnsi="Times New Roman" w:cs="Times New Roman"/>
          <w:sz w:val="24"/>
        </w:rPr>
        <w:t xml:space="preserve">Grau Fibla G, Eiroa Patino P, Cayuela Dominguez A. [Spanish version of the OARS Multidimensional Functional Assessment Questionnaire: cross-cultural adaptation and validity measurement]. </w:t>
      </w:r>
      <w:r w:rsidRPr="00E42BA6">
        <w:rPr>
          <w:rFonts w:ascii="Times New Roman" w:hAnsi="Times New Roman" w:cs="Times New Roman"/>
          <w:sz w:val="24"/>
          <w:lang w:val="es-ES"/>
        </w:rPr>
        <w:t>Aten</w:t>
      </w:r>
      <w:r w:rsidR="00E42BA6">
        <w:rPr>
          <w:rFonts w:ascii="Times New Roman" w:hAnsi="Times New Roman" w:cs="Times New Roman"/>
          <w:sz w:val="24"/>
          <w:lang w:val="es-ES"/>
        </w:rPr>
        <w:t xml:space="preserve"> P</w:t>
      </w:r>
      <w:r w:rsidRPr="00E42BA6">
        <w:rPr>
          <w:rFonts w:ascii="Times New Roman" w:hAnsi="Times New Roman" w:cs="Times New Roman"/>
          <w:sz w:val="24"/>
          <w:lang w:val="es-ES"/>
        </w:rPr>
        <w:t>rim.</w:t>
      </w:r>
      <w:r w:rsidRPr="004071FD">
        <w:rPr>
          <w:rFonts w:ascii="Times New Roman" w:hAnsi="Times New Roman" w:cs="Times New Roman"/>
          <w:sz w:val="24"/>
          <w:lang w:val="es-ES"/>
        </w:rPr>
        <w:t xml:space="preserve"> 1996;</w:t>
      </w:r>
      <w:r w:rsidRPr="005E5DDB">
        <w:rPr>
          <w:rFonts w:ascii="Times New Roman" w:hAnsi="Times New Roman" w:cs="Times New Roman"/>
          <w:b/>
          <w:sz w:val="24"/>
          <w:lang w:val="es-ES"/>
        </w:rPr>
        <w:t>17(8)</w:t>
      </w:r>
      <w:r w:rsidRPr="004071FD">
        <w:rPr>
          <w:rFonts w:ascii="Times New Roman" w:hAnsi="Times New Roman" w:cs="Times New Roman"/>
          <w:sz w:val="24"/>
          <w:lang w:val="es-ES"/>
        </w:rPr>
        <w:t>:486-95.</w:t>
      </w:r>
    </w:p>
    <w:p w14:paraId="0C7B2705" w14:textId="0D18754F" w:rsidR="00E95AEF" w:rsidRPr="0074722F" w:rsidRDefault="00E95AEF" w:rsidP="005D360F">
      <w:pPr>
        <w:pStyle w:val="EndNoteBibliography"/>
        <w:spacing w:after="0" w:line="360" w:lineRule="auto"/>
        <w:jc w:val="left"/>
        <w:rPr>
          <w:rFonts w:ascii="Times New Roman" w:hAnsi="Times New Roman" w:cs="Times New Roman"/>
          <w:sz w:val="24"/>
          <w:lang w:val="es-ES"/>
        </w:rPr>
      </w:pPr>
      <w:r w:rsidRPr="004071FD">
        <w:rPr>
          <w:rFonts w:ascii="Times New Roman" w:hAnsi="Times New Roman" w:cs="Times New Roman"/>
          <w:sz w:val="24"/>
          <w:lang w:val="es-ES"/>
        </w:rPr>
        <w:t>2</w:t>
      </w:r>
      <w:r w:rsidR="0092723B">
        <w:rPr>
          <w:rFonts w:ascii="Times New Roman" w:hAnsi="Times New Roman" w:cs="Times New Roman"/>
          <w:sz w:val="24"/>
          <w:lang w:val="es-ES"/>
        </w:rPr>
        <w:t>9</w:t>
      </w:r>
      <w:r w:rsidRPr="004071FD">
        <w:rPr>
          <w:rFonts w:ascii="Times New Roman" w:hAnsi="Times New Roman" w:cs="Times New Roman"/>
          <w:sz w:val="24"/>
          <w:lang w:val="es-ES"/>
        </w:rPr>
        <w:t>.</w:t>
      </w:r>
      <w:r w:rsidR="0074722F">
        <w:rPr>
          <w:rFonts w:ascii="Times New Roman" w:hAnsi="Times New Roman" w:cs="Times New Roman"/>
          <w:sz w:val="24"/>
          <w:lang w:val="es-ES"/>
        </w:rPr>
        <w:t xml:space="preserve"> </w:t>
      </w:r>
      <w:r w:rsidRPr="004071FD">
        <w:rPr>
          <w:rFonts w:ascii="Times New Roman" w:hAnsi="Times New Roman" w:cs="Times New Roman"/>
          <w:sz w:val="24"/>
          <w:lang w:val="es-ES"/>
        </w:rPr>
        <w:t xml:space="preserve">Robles-Perez De Azpillaga A, Rodriguez Pinero-Duran M, Zarco-Perinan M J, Rendon-Fernandez B, Mesa-Lopez C, Echevarria-Ruiz De Vargas C. Versión española de la Gross Motor Function Measure (GMFM): fase inicial de su adaptación </w:t>
      </w:r>
      <w:r w:rsidRPr="00E42BA6">
        <w:rPr>
          <w:rFonts w:ascii="Times New Roman" w:hAnsi="Times New Roman" w:cs="Times New Roman"/>
          <w:sz w:val="24"/>
          <w:lang w:val="es-ES"/>
        </w:rPr>
        <w:t>transcultural. Rehabil</w:t>
      </w:r>
      <w:r w:rsidR="00E42BA6" w:rsidRPr="00E42BA6">
        <w:rPr>
          <w:rFonts w:ascii="Times New Roman" w:hAnsi="Times New Roman" w:cs="Times New Roman"/>
          <w:sz w:val="24"/>
          <w:lang w:val="es-ES"/>
        </w:rPr>
        <w:t>itación</w:t>
      </w:r>
      <w:r w:rsidRPr="0074722F">
        <w:rPr>
          <w:rFonts w:ascii="Times New Roman" w:hAnsi="Times New Roman" w:cs="Times New Roman"/>
          <w:sz w:val="24"/>
          <w:lang w:val="es-ES"/>
        </w:rPr>
        <w:t>. 2009;</w:t>
      </w:r>
      <w:r w:rsidRPr="005E5DDB">
        <w:rPr>
          <w:rFonts w:ascii="Times New Roman" w:hAnsi="Times New Roman" w:cs="Times New Roman"/>
          <w:b/>
          <w:sz w:val="24"/>
          <w:lang w:val="es-ES"/>
        </w:rPr>
        <w:t>43(5)</w:t>
      </w:r>
      <w:r w:rsidRPr="0074722F">
        <w:rPr>
          <w:rFonts w:ascii="Times New Roman" w:hAnsi="Times New Roman" w:cs="Times New Roman"/>
          <w:sz w:val="24"/>
          <w:lang w:val="es-ES"/>
        </w:rPr>
        <w:t>:197-203.</w:t>
      </w:r>
    </w:p>
    <w:p w14:paraId="18B36D06" w14:textId="5CE52375" w:rsidR="004C2339" w:rsidRDefault="004C2339">
      <w:pPr>
        <w:rPr>
          <w:rFonts w:ascii="Times New Roman" w:hAnsi="Times New Roman" w:cs="Times New Roman"/>
          <w:sz w:val="24"/>
          <w:szCs w:val="24"/>
        </w:rPr>
      </w:pPr>
      <w:r>
        <w:rPr>
          <w:rFonts w:ascii="Times New Roman" w:hAnsi="Times New Roman" w:cs="Times New Roman"/>
          <w:sz w:val="24"/>
          <w:szCs w:val="24"/>
        </w:rPr>
        <w:br w:type="page"/>
      </w:r>
    </w:p>
    <w:p w14:paraId="5D8E336B" w14:textId="77777777" w:rsidR="00A7636A" w:rsidRDefault="00A7636A" w:rsidP="005D360F">
      <w:pPr>
        <w:rPr>
          <w:rFonts w:ascii="Times New Roman" w:hAnsi="Times New Roman" w:cs="Times New Roman"/>
          <w:sz w:val="24"/>
          <w:szCs w:val="24"/>
        </w:rPr>
      </w:pPr>
    </w:p>
    <w:p w14:paraId="12DE0F28" w14:textId="77777777" w:rsidR="004C2339" w:rsidRPr="00410954" w:rsidRDefault="004C2339" w:rsidP="004C2339">
      <w:pPr>
        <w:rPr>
          <w:rFonts w:ascii="Times New Roman" w:hAnsi="Times New Roman" w:cs="Times New Roman"/>
          <w:b/>
          <w:sz w:val="24"/>
          <w:szCs w:val="24"/>
        </w:rPr>
      </w:pPr>
      <w:r w:rsidRPr="00410954">
        <w:rPr>
          <w:rFonts w:ascii="Times New Roman" w:hAnsi="Times New Roman" w:cs="Times New Roman"/>
          <w:b/>
          <w:sz w:val="24"/>
          <w:szCs w:val="24"/>
        </w:rPr>
        <w:t>Puntos destacados</w:t>
      </w:r>
    </w:p>
    <w:p w14:paraId="6BF83065" w14:textId="77777777" w:rsidR="004C2339" w:rsidRPr="00410954" w:rsidRDefault="004C2339" w:rsidP="004C2339">
      <w:pPr>
        <w:numPr>
          <w:ilvl w:val="0"/>
          <w:numId w:val="2"/>
        </w:numPr>
        <w:spacing w:before="120" w:after="120" w:line="360" w:lineRule="auto"/>
        <w:ind w:left="0" w:firstLine="426"/>
        <w:rPr>
          <w:rFonts w:ascii="Times New Roman" w:hAnsi="Times New Roman" w:cs="Times New Roman"/>
          <w:sz w:val="24"/>
          <w:szCs w:val="24"/>
        </w:rPr>
      </w:pPr>
      <w:r w:rsidRPr="00410954">
        <w:rPr>
          <w:rFonts w:ascii="Times New Roman" w:hAnsi="Times New Roman" w:cs="Times New Roman"/>
          <w:sz w:val="24"/>
          <w:szCs w:val="24"/>
        </w:rPr>
        <w:t xml:space="preserve">Los </w:t>
      </w:r>
      <w:proofErr w:type="spellStart"/>
      <w:r w:rsidRPr="00410954">
        <w:rPr>
          <w:rFonts w:ascii="Times New Roman" w:hAnsi="Times New Roman" w:cs="Times New Roman"/>
          <w:sz w:val="24"/>
          <w:szCs w:val="24"/>
        </w:rPr>
        <w:t>autoinformes</w:t>
      </w:r>
      <w:proofErr w:type="spellEnd"/>
      <w:r w:rsidRPr="00410954">
        <w:rPr>
          <w:rFonts w:ascii="Times New Roman" w:hAnsi="Times New Roman" w:cs="Times New Roman"/>
          <w:sz w:val="24"/>
          <w:szCs w:val="24"/>
        </w:rPr>
        <w:t xml:space="preserve"> permiten </w:t>
      </w:r>
      <w:r>
        <w:rPr>
          <w:rFonts w:ascii="Times New Roman" w:hAnsi="Times New Roman" w:cs="Times New Roman"/>
          <w:sz w:val="24"/>
          <w:szCs w:val="24"/>
        </w:rPr>
        <w:t>saber</w:t>
      </w:r>
      <w:r w:rsidRPr="00410954">
        <w:rPr>
          <w:rFonts w:ascii="Times New Roman" w:hAnsi="Times New Roman" w:cs="Times New Roman"/>
          <w:sz w:val="24"/>
          <w:szCs w:val="24"/>
        </w:rPr>
        <w:t xml:space="preserve"> cómo es </w:t>
      </w:r>
      <w:r>
        <w:rPr>
          <w:rFonts w:ascii="Times New Roman" w:hAnsi="Times New Roman" w:cs="Times New Roman"/>
          <w:sz w:val="24"/>
          <w:szCs w:val="24"/>
        </w:rPr>
        <w:t>el</w:t>
      </w:r>
      <w:r w:rsidRPr="00410954">
        <w:rPr>
          <w:rFonts w:ascii="Times New Roman" w:hAnsi="Times New Roman" w:cs="Times New Roman"/>
          <w:sz w:val="24"/>
          <w:szCs w:val="24"/>
        </w:rPr>
        <w:t xml:space="preserve"> desempeño</w:t>
      </w:r>
      <w:r>
        <w:rPr>
          <w:rFonts w:ascii="Times New Roman" w:hAnsi="Times New Roman" w:cs="Times New Roman"/>
          <w:sz w:val="24"/>
          <w:szCs w:val="24"/>
        </w:rPr>
        <w:t xml:space="preserve"> del niño </w:t>
      </w:r>
      <w:r w:rsidRPr="00410954">
        <w:rPr>
          <w:rFonts w:ascii="Times New Roman" w:hAnsi="Times New Roman" w:cs="Times New Roman"/>
          <w:sz w:val="24"/>
          <w:szCs w:val="24"/>
        </w:rPr>
        <w:t xml:space="preserve">desde </w:t>
      </w:r>
      <w:r>
        <w:rPr>
          <w:rFonts w:ascii="Times New Roman" w:hAnsi="Times New Roman" w:cs="Times New Roman"/>
          <w:sz w:val="24"/>
          <w:szCs w:val="24"/>
        </w:rPr>
        <w:t>su</w:t>
      </w:r>
      <w:r w:rsidRPr="00410954">
        <w:rPr>
          <w:rFonts w:ascii="Times New Roman" w:hAnsi="Times New Roman" w:cs="Times New Roman"/>
          <w:sz w:val="24"/>
          <w:szCs w:val="24"/>
        </w:rPr>
        <w:t xml:space="preserve"> perspectiva</w:t>
      </w:r>
      <w:r>
        <w:rPr>
          <w:rFonts w:ascii="Times New Roman" w:hAnsi="Times New Roman" w:cs="Times New Roman"/>
          <w:sz w:val="24"/>
          <w:szCs w:val="24"/>
        </w:rPr>
        <w:t>.</w:t>
      </w:r>
    </w:p>
    <w:p w14:paraId="2B657BBE" w14:textId="77777777" w:rsidR="004C2339" w:rsidRPr="00410954" w:rsidRDefault="004C2339" w:rsidP="004C2339">
      <w:pPr>
        <w:numPr>
          <w:ilvl w:val="0"/>
          <w:numId w:val="2"/>
        </w:numPr>
        <w:spacing w:before="120" w:after="120" w:line="360" w:lineRule="auto"/>
        <w:ind w:left="0" w:firstLine="426"/>
        <w:rPr>
          <w:rFonts w:ascii="Times New Roman" w:hAnsi="Times New Roman" w:cs="Times New Roman"/>
          <w:sz w:val="24"/>
          <w:szCs w:val="24"/>
        </w:rPr>
      </w:pPr>
      <w:r>
        <w:rPr>
          <w:rFonts w:ascii="Times New Roman" w:hAnsi="Times New Roman" w:cs="Times New Roman"/>
          <w:sz w:val="24"/>
          <w:szCs w:val="24"/>
        </w:rPr>
        <w:t>El</w:t>
      </w:r>
      <w:r w:rsidRPr="00410954">
        <w:rPr>
          <w:rFonts w:ascii="Times New Roman" w:hAnsi="Times New Roman" w:cs="Times New Roman"/>
          <w:sz w:val="24"/>
          <w:szCs w:val="24"/>
        </w:rPr>
        <w:t xml:space="preserve"> </w:t>
      </w:r>
      <w:r w:rsidRPr="00E3105B">
        <w:rPr>
          <w:rFonts w:ascii="Times New Roman" w:hAnsi="Times New Roman" w:cs="Times New Roman"/>
          <w:sz w:val="24"/>
          <w:szCs w:val="24"/>
        </w:rPr>
        <w:t>ASK</w:t>
      </w:r>
      <w:r>
        <w:rPr>
          <w:rFonts w:ascii="Times New Roman" w:hAnsi="Times New Roman" w:cs="Times New Roman"/>
          <w:sz w:val="24"/>
          <w:szCs w:val="24"/>
        </w:rPr>
        <w:t xml:space="preserve"> ha sido traducido y adaptado culturalmente al contexto español con éxito.</w:t>
      </w:r>
    </w:p>
    <w:p w14:paraId="6F48F4D3" w14:textId="77777777" w:rsidR="004C2339" w:rsidRPr="00410954" w:rsidRDefault="004C2339" w:rsidP="004C2339">
      <w:pPr>
        <w:numPr>
          <w:ilvl w:val="0"/>
          <w:numId w:val="2"/>
        </w:numPr>
        <w:spacing w:before="120" w:after="120" w:line="360" w:lineRule="auto"/>
        <w:ind w:left="0" w:firstLine="426"/>
        <w:rPr>
          <w:rFonts w:ascii="Times New Roman" w:hAnsi="Times New Roman" w:cs="Times New Roman"/>
          <w:sz w:val="24"/>
          <w:szCs w:val="24"/>
        </w:rPr>
      </w:pPr>
      <w:r w:rsidRPr="00410954">
        <w:rPr>
          <w:rFonts w:ascii="Times New Roman" w:hAnsi="Times New Roman" w:cs="Times New Roman"/>
          <w:sz w:val="24"/>
          <w:szCs w:val="24"/>
        </w:rPr>
        <w:t>Queda pendiente el análisis de sus propiedades psicométricas.</w:t>
      </w:r>
    </w:p>
    <w:p w14:paraId="7F0D905A" w14:textId="77777777" w:rsidR="003E7D2C" w:rsidRPr="00E3105B" w:rsidRDefault="003E7D2C" w:rsidP="005D360F">
      <w:pPr>
        <w:spacing w:before="120" w:after="120" w:line="360" w:lineRule="auto"/>
        <w:ind w:firstLine="426"/>
        <w:rPr>
          <w:rFonts w:ascii="Times New Roman" w:hAnsi="Times New Roman" w:cs="Times New Roman"/>
          <w:sz w:val="24"/>
          <w:szCs w:val="24"/>
        </w:rPr>
      </w:pPr>
    </w:p>
    <w:p w14:paraId="72EED4C1" w14:textId="77777777" w:rsidR="00843EDC" w:rsidRDefault="00843EDC" w:rsidP="005D360F">
      <w:pPr>
        <w:spacing w:before="120" w:after="120" w:line="360" w:lineRule="auto"/>
        <w:ind w:firstLine="426"/>
      </w:pPr>
    </w:p>
    <w:sectPr w:rsidR="00843ED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B9638" w14:textId="77777777" w:rsidR="00A772B7" w:rsidRDefault="00A772B7" w:rsidP="00E147F4">
      <w:pPr>
        <w:spacing w:after="0" w:line="240" w:lineRule="auto"/>
      </w:pPr>
      <w:r>
        <w:separator/>
      </w:r>
    </w:p>
  </w:endnote>
  <w:endnote w:type="continuationSeparator" w:id="0">
    <w:p w14:paraId="530E4193" w14:textId="77777777" w:rsidR="00A772B7" w:rsidRDefault="00A772B7" w:rsidP="00E1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81542"/>
      <w:docPartObj>
        <w:docPartGallery w:val="Page Numbers (Bottom of Page)"/>
        <w:docPartUnique/>
      </w:docPartObj>
    </w:sdtPr>
    <w:sdtEndPr/>
    <w:sdtContent>
      <w:p w14:paraId="72C3399B" w14:textId="6E253386" w:rsidR="00E147F4" w:rsidRDefault="00E147F4">
        <w:pPr>
          <w:pStyle w:val="Piedepgina"/>
          <w:jc w:val="right"/>
        </w:pPr>
        <w:r>
          <w:fldChar w:fldCharType="begin"/>
        </w:r>
        <w:r>
          <w:instrText>PAGE   \* MERGEFORMAT</w:instrText>
        </w:r>
        <w:r>
          <w:fldChar w:fldCharType="separate"/>
        </w:r>
        <w:r w:rsidR="00E42BA6">
          <w:rPr>
            <w:noProof/>
          </w:rPr>
          <w:t>8</w:t>
        </w:r>
        <w:r>
          <w:fldChar w:fldCharType="end"/>
        </w:r>
      </w:p>
    </w:sdtContent>
  </w:sdt>
  <w:p w14:paraId="4685DE0D" w14:textId="77777777" w:rsidR="00E147F4" w:rsidRDefault="00E14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39D9" w14:textId="77777777" w:rsidR="00A772B7" w:rsidRDefault="00A772B7" w:rsidP="00E147F4">
      <w:pPr>
        <w:spacing w:after="0" w:line="240" w:lineRule="auto"/>
      </w:pPr>
      <w:r>
        <w:separator/>
      </w:r>
    </w:p>
  </w:footnote>
  <w:footnote w:type="continuationSeparator" w:id="0">
    <w:p w14:paraId="428D1881" w14:textId="77777777" w:rsidR="00A772B7" w:rsidRDefault="00A772B7" w:rsidP="00E1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50"/>
    <w:multiLevelType w:val="hybridMultilevel"/>
    <w:tmpl w:val="C29C7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A81A19"/>
    <w:multiLevelType w:val="hybridMultilevel"/>
    <w:tmpl w:val="C15C7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7D2C"/>
    <w:rsid w:val="00005AA5"/>
    <w:rsid w:val="0009213B"/>
    <w:rsid w:val="0010249F"/>
    <w:rsid w:val="00115A95"/>
    <w:rsid w:val="00117474"/>
    <w:rsid w:val="00154371"/>
    <w:rsid w:val="00196498"/>
    <w:rsid w:val="001C1975"/>
    <w:rsid w:val="001C70EC"/>
    <w:rsid w:val="001E2464"/>
    <w:rsid w:val="002D4549"/>
    <w:rsid w:val="00327B48"/>
    <w:rsid w:val="003E7D2C"/>
    <w:rsid w:val="00437FF7"/>
    <w:rsid w:val="0044055F"/>
    <w:rsid w:val="00480959"/>
    <w:rsid w:val="004950D9"/>
    <w:rsid w:val="004C2339"/>
    <w:rsid w:val="0053555C"/>
    <w:rsid w:val="005A71C0"/>
    <w:rsid w:val="005D360F"/>
    <w:rsid w:val="005D7787"/>
    <w:rsid w:val="005E5DDB"/>
    <w:rsid w:val="00601FCB"/>
    <w:rsid w:val="00673812"/>
    <w:rsid w:val="00675910"/>
    <w:rsid w:val="0069529A"/>
    <w:rsid w:val="006F6CAC"/>
    <w:rsid w:val="007239A0"/>
    <w:rsid w:val="0074722F"/>
    <w:rsid w:val="0077655E"/>
    <w:rsid w:val="00781915"/>
    <w:rsid w:val="00792B0F"/>
    <w:rsid w:val="007C2398"/>
    <w:rsid w:val="0083064B"/>
    <w:rsid w:val="00843EDC"/>
    <w:rsid w:val="00852728"/>
    <w:rsid w:val="008A7684"/>
    <w:rsid w:val="00902628"/>
    <w:rsid w:val="0091542D"/>
    <w:rsid w:val="0092723B"/>
    <w:rsid w:val="009D0FDD"/>
    <w:rsid w:val="009F4C58"/>
    <w:rsid w:val="00A26349"/>
    <w:rsid w:val="00A65E88"/>
    <w:rsid w:val="00A741ED"/>
    <w:rsid w:val="00A7636A"/>
    <w:rsid w:val="00A772B7"/>
    <w:rsid w:val="00B05F74"/>
    <w:rsid w:val="00BF3118"/>
    <w:rsid w:val="00CB69AC"/>
    <w:rsid w:val="00D60B1F"/>
    <w:rsid w:val="00D85FA6"/>
    <w:rsid w:val="00DD2B46"/>
    <w:rsid w:val="00DE511B"/>
    <w:rsid w:val="00E069DF"/>
    <w:rsid w:val="00E147F4"/>
    <w:rsid w:val="00E42BA6"/>
    <w:rsid w:val="00E95AEF"/>
    <w:rsid w:val="00EF297D"/>
    <w:rsid w:val="00F30C17"/>
    <w:rsid w:val="00F4473C"/>
    <w:rsid w:val="00F719F3"/>
    <w:rsid w:val="00F8731B"/>
    <w:rsid w:val="00FF6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D2C"/>
    <w:rPr>
      <w:color w:val="0000FF" w:themeColor="hyperlink"/>
      <w:u w:val="single"/>
    </w:rPr>
  </w:style>
  <w:style w:type="character" w:styleId="Refdecomentario">
    <w:name w:val="annotation reference"/>
    <w:basedOn w:val="Fuentedeprrafopredeter"/>
    <w:uiPriority w:val="99"/>
    <w:semiHidden/>
    <w:unhideWhenUsed/>
    <w:rsid w:val="003E7D2C"/>
    <w:rPr>
      <w:sz w:val="16"/>
      <w:szCs w:val="16"/>
    </w:rPr>
  </w:style>
  <w:style w:type="paragraph" w:styleId="Textocomentario">
    <w:name w:val="annotation text"/>
    <w:basedOn w:val="Normal"/>
    <w:link w:val="TextocomentarioCar"/>
    <w:uiPriority w:val="99"/>
    <w:unhideWhenUsed/>
    <w:rsid w:val="003E7D2C"/>
    <w:pPr>
      <w:spacing w:line="240" w:lineRule="auto"/>
    </w:pPr>
    <w:rPr>
      <w:sz w:val="20"/>
      <w:szCs w:val="20"/>
    </w:rPr>
  </w:style>
  <w:style w:type="character" w:customStyle="1" w:styleId="TextocomentarioCar">
    <w:name w:val="Texto comentario Car"/>
    <w:basedOn w:val="Fuentedeprrafopredeter"/>
    <w:link w:val="Textocomentario"/>
    <w:uiPriority w:val="99"/>
    <w:rsid w:val="003E7D2C"/>
    <w:rPr>
      <w:sz w:val="20"/>
      <w:szCs w:val="20"/>
    </w:rPr>
  </w:style>
  <w:style w:type="paragraph" w:styleId="Asuntodelcomentario">
    <w:name w:val="annotation subject"/>
    <w:basedOn w:val="Textocomentario"/>
    <w:next w:val="Textocomentario"/>
    <w:link w:val="AsuntodelcomentarioCar"/>
    <w:uiPriority w:val="99"/>
    <w:semiHidden/>
    <w:unhideWhenUsed/>
    <w:rsid w:val="003E7D2C"/>
    <w:rPr>
      <w:b/>
      <w:bCs/>
    </w:rPr>
  </w:style>
  <w:style w:type="character" w:customStyle="1" w:styleId="AsuntodelcomentarioCar">
    <w:name w:val="Asunto del comentario Car"/>
    <w:basedOn w:val="TextocomentarioCar"/>
    <w:link w:val="Asuntodelcomentario"/>
    <w:uiPriority w:val="99"/>
    <w:semiHidden/>
    <w:rsid w:val="003E7D2C"/>
    <w:rPr>
      <w:b/>
      <w:bCs/>
      <w:sz w:val="20"/>
      <w:szCs w:val="20"/>
    </w:rPr>
  </w:style>
  <w:style w:type="paragraph" w:styleId="Textodeglobo">
    <w:name w:val="Balloon Text"/>
    <w:basedOn w:val="Normal"/>
    <w:link w:val="TextodegloboCar"/>
    <w:uiPriority w:val="99"/>
    <w:semiHidden/>
    <w:unhideWhenUsed/>
    <w:rsid w:val="003E7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D2C"/>
    <w:rPr>
      <w:rFonts w:ascii="Tahoma" w:hAnsi="Tahoma" w:cs="Tahoma"/>
      <w:sz w:val="16"/>
      <w:szCs w:val="16"/>
    </w:rPr>
  </w:style>
  <w:style w:type="paragraph" w:styleId="Prrafodelista">
    <w:name w:val="List Paragraph"/>
    <w:basedOn w:val="Normal"/>
    <w:uiPriority w:val="99"/>
    <w:qFormat/>
    <w:rsid w:val="003E7D2C"/>
    <w:pPr>
      <w:spacing w:before="120" w:after="320" w:line="360" w:lineRule="auto"/>
      <w:ind w:left="720"/>
      <w:contextualSpacing/>
      <w:jc w:val="both"/>
    </w:pPr>
    <w:rPr>
      <w:rFonts w:ascii="Times New Roman" w:hAnsi="Times New Roman"/>
      <w:sz w:val="24"/>
    </w:rPr>
  </w:style>
  <w:style w:type="table" w:styleId="Tablaconcuadrcula">
    <w:name w:val="Table Grid"/>
    <w:basedOn w:val="Tablanormal"/>
    <w:uiPriority w:val="59"/>
    <w:rsid w:val="003E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E7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E7D2C"/>
    <w:rPr>
      <w:rFonts w:ascii="Courier New" w:eastAsia="Times New Roman" w:hAnsi="Courier New" w:cs="Courier New"/>
      <w:sz w:val="20"/>
      <w:szCs w:val="20"/>
      <w:lang w:eastAsia="es-ES"/>
    </w:rPr>
  </w:style>
  <w:style w:type="paragraph" w:styleId="Revisin">
    <w:name w:val="Revision"/>
    <w:hidden/>
    <w:uiPriority w:val="99"/>
    <w:semiHidden/>
    <w:rsid w:val="003E7D2C"/>
    <w:pPr>
      <w:spacing w:after="0" w:line="240" w:lineRule="auto"/>
    </w:pPr>
  </w:style>
  <w:style w:type="paragraph" w:customStyle="1" w:styleId="EndNoteBibliographyTitle">
    <w:name w:val="EndNote Bibliography Title"/>
    <w:basedOn w:val="Normal"/>
    <w:link w:val="EndNoteBibliographyTitleCar"/>
    <w:rsid w:val="003E7D2C"/>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3E7D2C"/>
    <w:rPr>
      <w:rFonts w:ascii="Calibri" w:hAnsi="Calibri"/>
      <w:noProof/>
      <w:lang w:val="en-US"/>
    </w:rPr>
  </w:style>
  <w:style w:type="paragraph" w:customStyle="1" w:styleId="EndNoteBibliography">
    <w:name w:val="EndNote Bibliography"/>
    <w:basedOn w:val="Normal"/>
    <w:link w:val="EndNoteBibliographyCar"/>
    <w:rsid w:val="003E7D2C"/>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3E7D2C"/>
    <w:rPr>
      <w:rFonts w:ascii="Calibri" w:hAnsi="Calibri"/>
      <w:noProof/>
      <w:lang w:val="en-US"/>
    </w:rPr>
  </w:style>
  <w:style w:type="character" w:customStyle="1" w:styleId="Mencinsinresolver1">
    <w:name w:val="Mención sin resolver1"/>
    <w:basedOn w:val="Fuentedeprrafopredeter"/>
    <w:uiPriority w:val="99"/>
    <w:semiHidden/>
    <w:unhideWhenUsed/>
    <w:rsid w:val="003E7D2C"/>
    <w:rPr>
      <w:color w:val="808080"/>
      <w:shd w:val="clear" w:color="auto" w:fill="E6E6E6"/>
    </w:rPr>
  </w:style>
  <w:style w:type="paragraph" w:styleId="Encabezado">
    <w:name w:val="header"/>
    <w:basedOn w:val="Normal"/>
    <w:link w:val="EncabezadoCar"/>
    <w:uiPriority w:val="99"/>
    <w:unhideWhenUsed/>
    <w:rsid w:val="00E14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7F4"/>
  </w:style>
  <w:style w:type="paragraph" w:styleId="Piedepgina">
    <w:name w:val="footer"/>
    <w:basedOn w:val="Normal"/>
    <w:link w:val="PiedepginaCar"/>
    <w:uiPriority w:val="99"/>
    <w:unhideWhenUsed/>
    <w:rsid w:val="00E14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D2C"/>
    <w:rPr>
      <w:color w:val="0000FF" w:themeColor="hyperlink"/>
      <w:u w:val="single"/>
    </w:rPr>
  </w:style>
  <w:style w:type="character" w:styleId="Refdecomentario">
    <w:name w:val="annotation reference"/>
    <w:basedOn w:val="Fuentedeprrafopredeter"/>
    <w:uiPriority w:val="99"/>
    <w:semiHidden/>
    <w:unhideWhenUsed/>
    <w:rsid w:val="003E7D2C"/>
    <w:rPr>
      <w:sz w:val="16"/>
      <w:szCs w:val="16"/>
    </w:rPr>
  </w:style>
  <w:style w:type="paragraph" w:styleId="Textocomentario">
    <w:name w:val="annotation text"/>
    <w:basedOn w:val="Normal"/>
    <w:link w:val="TextocomentarioCar"/>
    <w:uiPriority w:val="99"/>
    <w:unhideWhenUsed/>
    <w:rsid w:val="003E7D2C"/>
    <w:pPr>
      <w:spacing w:line="240" w:lineRule="auto"/>
    </w:pPr>
    <w:rPr>
      <w:sz w:val="20"/>
      <w:szCs w:val="20"/>
    </w:rPr>
  </w:style>
  <w:style w:type="character" w:customStyle="1" w:styleId="TextocomentarioCar">
    <w:name w:val="Texto comentario Car"/>
    <w:basedOn w:val="Fuentedeprrafopredeter"/>
    <w:link w:val="Textocomentario"/>
    <w:uiPriority w:val="99"/>
    <w:rsid w:val="003E7D2C"/>
    <w:rPr>
      <w:sz w:val="20"/>
      <w:szCs w:val="20"/>
    </w:rPr>
  </w:style>
  <w:style w:type="paragraph" w:styleId="Asuntodelcomentario">
    <w:name w:val="annotation subject"/>
    <w:basedOn w:val="Textocomentario"/>
    <w:next w:val="Textocomentario"/>
    <w:link w:val="AsuntodelcomentarioCar"/>
    <w:uiPriority w:val="99"/>
    <w:semiHidden/>
    <w:unhideWhenUsed/>
    <w:rsid w:val="003E7D2C"/>
    <w:rPr>
      <w:b/>
      <w:bCs/>
    </w:rPr>
  </w:style>
  <w:style w:type="character" w:customStyle="1" w:styleId="AsuntodelcomentarioCar">
    <w:name w:val="Asunto del comentario Car"/>
    <w:basedOn w:val="TextocomentarioCar"/>
    <w:link w:val="Asuntodelcomentario"/>
    <w:uiPriority w:val="99"/>
    <w:semiHidden/>
    <w:rsid w:val="003E7D2C"/>
    <w:rPr>
      <w:b/>
      <w:bCs/>
      <w:sz w:val="20"/>
      <w:szCs w:val="20"/>
    </w:rPr>
  </w:style>
  <w:style w:type="paragraph" w:styleId="Textodeglobo">
    <w:name w:val="Balloon Text"/>
    <w:basedOn w:val="Normal"/>
    <w:link w:val="TextodegloboCar"/>
    <w:uiPriority w:val="99"/>
    <w:semiHidden/>
    <w:unhideWhenUsed/>
    <w:rsid w:val="003E7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D2C"/>
    <w:rPr>
      <w:rFonts w:ascii="Tahoma" w:hAnsi="Tahoma" w:cs="Tahoma"/>
      <w:sz w:val="16"/>
      <w:szCs w:val="16"/>
    </w:rPr>
  </w:style>
  <w:style w:type="paragraph" w:styleId="Prrafodelista">
    <w:name w:val="List Paragraph"/>
    <w:basedOn w:val="Normal"/>
    <w:uiPriority w:val="99"/>
    <w:qFormat/>
    <w:rsid w:val="003E7D2C"/>
    <w:pPr>
      <w:spacing w:before="120" w:after="320" w:line="360" w:lineRule="auto"/>
      <w:ind w:left="720"/>
      <w:contextualSpacing/>
      <w:jc w:val="both"/>
    </w:pPr>
    <w:rPr>
      <w:rFonts w:ascii="Times New Roman" w:hAnsi="Times New Roman"/>
      <w:sz w:val="24"/>
    </w:rPr>
  </w:style>
  <w:style w:type="table" w:styleId="Tablaconcuadrcula">
    <w:name w:val="Table Grid"/>
    <w:basedOn w:val="Tablanormal"/>
    <w:uiPriority w:val="59"/>
    <w:rsid w:val="003E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E7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E7D2C"/>
    <w:rPr>
      <w:rFonts w:ascii="Courier New" w:eastAsia="Times New Roman" w:hAnsi="Courier New" w:cs="Courier New"/>
      <w:sz w:val="20"/>
      <w:szCs w:val="20"/>
      <w:lang w:eastAsia="es-ES"/>
    </w:rPr>
  </w:style>
  <w:style w:type="paragraph" w:styleId="Revisin">
    <w:name w:val="Revision"/>
    <w:hidden/>
    <w:uiPriority w:val="99"/>
    <w:semiHidden/>
    <w:rsid w:val="003E7D2C"/>
    <w:pPr>
      <w:spacing w:after="0" w:line="240" w:lineRule="auto"/>
    </w:pPr>
  </w:style>
  <w:style w:type="paragraph" w:customStyle="1" w:styleId="EndNoteBibliographyTitle">
    <w:name w:val="EndNote Bibliography Title"/>
    <w:basedOn w:val="Normal"/>
    <w:link w:val="EndNoteBibliographyTitleCar"/>
    <w:rsid w:val="003E7D2C"/>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3E7D2C"/>
    <w:rPr>
      <w:rFonts w:ascii="Calibri" w:hAnsi="Calibri"/>
      <w:noProof/>
      <w:lang w:val="en-US"/>
    </w:rPr>
  </w:style>
  <w:style w:type="paragraph" w:customStyle="1" w:styleId="EndNoteBibliography">
    <w:name w:val="EndNote Bibliography"/>
    <w:basedOn w:val="Normal"/>
    <w:link w:val="EndNoteBibliographyCar"/>
    <w:rsid w:val="003E7D2C"/>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3E7D2C"/>
    <w:rPr>
      <w:rFonts w:ascii="Calibri" w:hAnsi="Calibri"/>
      <w:noProof/>
      <w:lang w:val="en-US"/>
    </w:rPr>
  </w:style>
  <w:style w:type="character" w:customStyle="1" w:styleId="Mencinsinresolver1">
    <w:name w:val="Mención sin resolver1"/>
    <w:basedOn w:val="Fuentedeprrafopredeter"/>
    <w:uiPriority w:val="99"/>
    <w:semiHidden/>
    <w:unhideWhenUsed/>
    <w:rsid w:val="003E7D2C"/>
    <w:rPr>
      <w:color w:val="808080"/>
      <w:shd w:val="clear" w:color="auto" w:fill="E6E6E6"/>
    </w:rPr>
  </w:style>
  <w:style w:type="paragraph" w:styleId="Encabezado">
    <w:name w:val="header"/>
    <w:basedOn w:val="Normal"/>
    <w:link w:val="EncabezadoCar"/>
    <w:uiPriority w:val="99"/>
    <w:unhideWhenUsed/>
    <w:rsid w:val="00E14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7F4"/>
  </w:style>
  <w:style w:type="paragraph" w:styleId="Piedepgina">
    <w:name w:val="footer"/>
    <w:basedOn w:val="Normal"/>
    <w:link w:val="PiedepginaCar"/>
    <w:uiPriority w:val="99"/>
    <w:unhideWhenUsed/>
    <w:rsid w:val="00E14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3C2-23B9-499F-8510-88808898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3600</Words>
  <Characters>19803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SANTAMARIA VAZQUEZ</dc:creator>
  <cp:lastModifiedBy>MONTSERRAT SANTAMARIA VAZQUEZ</cp:lastModifiedBy>
  <cp:revision>4</cp:revision>
  <cp:lastPrinted>2018-04-17T09:59:00Z</cp:lastPrinted>
  <dcterms:created xsi:type="dcterms:W3CDTF">2019-04-26T11:38:00Z</dcterms:created>
  <dcterms:modified xsi:type="dcterms:W3CDTF">2019-04-29T10:31:00Z</dcterms:modified>
</cp:coreProperties>
</file>