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D534" w14:textId="77777777" w:rsidR="00045D7F" w:rsidRPr="00980644" w:rsidRDefault="00045D7F" w:rsidP="00DD7819">
      <w:pPr>
        <w:pStyle w:val="Authornames"/>
        <w:rPr>
          <w:b/>
        </w:rPr>
      </w:pPr>
      <w:r w:rsidRPr="00980644">
        <w:rPr>
          <w:b/>
        </w:rPr>
        <w:t>Roseophilin-inspired derivatives as transmembrane anion carriers</w:t>
      </w:r>
    </w:p>
    <w:p w14:paraId="036BD388" w14:textId="7677FCF8" w:rsidR="00DD7819" w:rsidRPr="00306F0F" w:rsidRDefault="00DD7819" w:rsidP="00DD7819">
      <w:pPr>
        <w:pStyle w:val="Authornames"/>
        <w:rPr>
          <w:lang w:val="es-ES"/>
        </w:rPr>
      </w:pPr>
      <w:bookmarkStart w:id="0" w:name="_Hlk103100830"/>
      <w:r w:rsidRPr="00306F0F">
        <w:rPr>
          <w:lang w:val="es-ES"/>
        </w:rPr>
        <w:t>Sandra Díaz-</w:t>
      </w:r>
      <w:proofErr w:type="spellStart"/>
      <w:r w:rsidRPr="00306F0F">
        <w:rPr>
          <w:lang w:val="es-ES"/>
        </w:rPr>
        <w:t>Cabrera</w:t>
      </w:r>
      <w:r w:rsidR="00CB32A1" w:rsidRPr="00306F0F">
        <w:rPr>
          <w:lang w:val="es-ES"/>
        </w:rPr>
        <w:t>,</w:t>
      </w:r>
      <w:r w:rsidRPr="00306F0F">
        <w:rPr>
          <w:vertAlign w:val="superscript"/>
          <w:lang w:val="es-ES"/>
        </w:rPr>
        <w:t>a</w:t>
      </w:r>
      <w:proofErr w:type="spellEnd"/>
      <w:r w:rsidR="00CB32A1" w:rsidRPr="00306F0F">
        <w:rPr>
          <w:lang w:val="es-ES"/>
        </w:rPr>
        <w:t xml:space="preserve"> Israel </w:t>
      </w:r>
      <w:proofErr w:type="spellStart"/>
      <w:r w:rsidR="00CB32A1" w:rsidRPr="00306F0F">
        <w:rPr>
          <w:lang w:val="es-ES"/>
        </w:rPr>
        <w:t>Carreira-Barral,</w:t>
      </w:r>
      <w:r w:rsidRPr="00306F0F">
        <w:rPr>
          <w:vertAlign w:val="superscript"/>
          <w:lang w:val="es-ES"/>
        </w:rPr>
        <w:t>a</w:t>
      </w:r>
      <w:proofErr w:type="spellEnd"/>
      <w:r w:rsidR="00CB32A1" w:rsidRPr="00306F0F">
        <w:rPr>
          <w:lang w:val="es-ES"/>
        </w:rPr>
        <w:t xml:space="preserve"> </w:t>
      </w:r>
      <w:r w:rsidRPr="00306F0F">
        <w:rPr>
          <w:lang w:val="es-ES"/>
        </w:rPr>
        <w:t>María García</w:t>
      </w:r>
      <w:r w:rsidR="00CB32A1" w:rsidRPr="00306F0F">
        <w:rPr>
          <w:lang w:val="es-ES"/>
        </w:rPr>
        <w:t>-</w:t>
      </w:r>
      <w:proofErr w:type="spellStart"/>
      <w:r w:rsidRPr="00306F0F">
        <w:rPr>
          <w:lang w:val="es-ES"/>
        </w:rPr>
        <w:t>Valverde</w:t>
      </w:r>
      <w:r w:rsidRPr="00306F0F">
        <w:rPr>
          <w:vertAlign w:val="superscript"/>
          <w:lang w:val="es-ES"/>
        </w:rPr>
        <w:t>a</w:t>
      </w:r>
      <w:proofErr w:type="spellEnd"/>
      <w:r w:rsidR="00CB32A1" w:rsidRPr="00306F0F">
        <w:rPr>
          <w:lang w:val="es-ES"/>
        </w:rPr>
        <w:t xml:space="preserve"> and Roberto Quesada</w:t>
      </w:r>
      <w:bookmarkEnd w:id="0"/>
      <w:r w:rsidR="00CB32A1" w:rsidRPr="00306F0F">
        <w:rPr>
          <w:vertAlign w:val="superscript"/>
          <w:lang w:val="es-ES"/>
        </w:rPr>
        <w:t>*</w:t>
      </w:r>
      <w:r w:rsidRPr="00306F0F">
        <w:rPr>
          <w:vertAlign w:val="superscript"/>
          <w:lang w:val="es-ES"/>
        </w:rPr>
        <w:t>a</w:t>
      </w:r>
      <w:r w:rsidRPr="00306F0F">
        <w:rPr>
          <w:lang w:val="es-ES"/>
        </w:rPr>
        <w:t xml:space="preserve"> </w:t>
      </w:r>
      <w:r w:rsidR="00CB32A1" w:rsidRPr="00306F0F">
        <w:rPr>
          <w:lang w:val="es-ES"/>
        </w:rPr>
        <w:t xml:space="preserve"> </w:t>
      </w:r>
    </w:p>
    <w:p w14:paraId="5A9EBF41" w14:textId="77777777" w:rsidR="00997B0F" w:rsidRPr="00306F0F" w:rsidRDefault="00B64FA3" w:rsidP="00DD7819">
      <w:pPr>
        <w:pStyle w:val="Authornames"/>
        <w:rPr>
          <w:lang w:val="es-ES"/>
        </w:rPr>
      </w:pPr>
      <w:proofErr w:type="spellStart"/>
      <w:r w:rsidRPr="00306F0F">
        <w:rPr>
          <w:vertAlign w:val="superscript"/>
          <w:lang w:val="es-ES"/>
        </w:rPr>
        <w:t>a</w:t>
      </w:r>
      <w:r w:rsidR="00DD7819" w:rsidRPr="00306F0F">
        <w:rPr>
          <w:lang w:val="es-ES"/>
        </w:rPr>
        <w:t>Depart</w:t>
      </w:r>
      <w:r w:rsidR="0063714D" w:rsidRPr="00306F0F">
        <w:rPr>
          <w:lang w:val="es-ES"/>
        </w:rPr>
        <w:t>a</w:t>
      </w:r>
      <w:r w:rsidR="00DD7819" w:rsidRPr="00306F0F">
        <w:rPr>
          <w:lang w:val="es-ES"/>
        </w:rPr>
        <w:t>mento</w:t>
      </w:r>
      <w:proofErr w:type="spellEnd"/>
      <w:r w:rsidR="00DD7819" w:rsidRPr="00306F0F">
        <w:rPr>
          <w:lang w:val="es-ES"/>
        </w:rPr>
        <w:t xml:space="preserve"> de Química, Universidad de Burgos, 09001 Burgos, </w:t>
      </w:r>
      <w:proofErr w:type="spellStart"/>
      <w:r w:rsidR="00DD7819" w:rsidRPr="00306F0F">
        <w:rPr>
          <w:lang w:val="es-ES"/>
        </w:rPr>
        <w:t>Spain</w:t>
      </w:r>
      <w:proofErr w:type="spellEnd"/>
      <w:r w:rsidR="00DD7819" w:rsidRPr="00306F0F">
        <w:rPr>
          <w:lang w:val="es-ES"/>
        </w:rPr>
        <w:t xml:space="preserve"> </w:t>
      </w:r>
    </w:p>
    <w:p w14:paraId="171BF8F5" w14:textId="77777777" w:rsidR="00DD7819" w:rsidRPr="00980644" w:rsidRDefault="00DD7819" w:rsidP="00DD7819">
      <w:pPr>
        <w:pStyle w:val="Correspondencedetails"/>
        <w:jc w:val="both"/>
      </w:pPr>
      <w:r w:rsidRPr="00980644">
        <w:t>*</w:t>
      </w:r>
      <w:hyperlink r:id="rId8" w:history="1">
        <w:r w:rsidRPr="00980644">
          <w:rPr>
            <w:rStyle w:val="Hipervnculo"/>
          </w:rPr>
          <w:t>rquesada@ubu.es</w:t>
        </w:r>
      </w:hyperlink>
    </w:p>
    <w:p w14:paraId="272A8867" w14:textId="77777777" w:rsidR="00045D7F" w:rsidRPr="00980644" w:rsidRDefault="00C14585" w:rsidP="00045D7F">
      <w:pPr>
        <w:pStyle w:val="Authornames"/>
        <w:rPr>
          <w:b/>
        </w:rPr>
      </w:pPr>
      <w:r w:rsidRPr="00980644">
        <w:br w:type="page"/>
      </w:r>
      <w:r w:rsidR="00045D7F" w:rsidRPr="00980644">
        <w:rPr>
          <w:b/>
        </w:rPr>
        <w:lastRenderedPageBreak/>
        <w:t>Roseophilin-inspired derivatives as transmembrane anion carriers</w:t>
      </w:r>
    </w:p>
    <w:p w14:paraId="7A1CE3A8" w14:textId="19C78AE0" w:rsidR="009D5D4E" w:rsidRPr="00980644" w:rsidRDefault="009D5D4E" w:rsidP="009D5D4E">
      <w:pPr>
        <w:pStyle w:val="Abstract"/>
        <w:jc w:val="both"/>
      </w:pPr>
      <w:r w:rsidRPr="00980644">
        <w:rPr>
          <w:rFonts w:cs="Arial"/>
          <w:b/>
          <w:bCs/>
          <w:kern w:val="32"/>
          <w:szCs w:val="22"/>
        </w:rPr>
        <w:t>Abstract:</w:t>
      </w:r>
      <w:r w:rsidRPr="00980644">
        <w:t xml:space="preserve"> Roseophilin is an alkaloid structurally related to the prodiginine family. The intriguing pharmacological properties of these derivatives prompted us to prepare synthetic compounds </w:t>
      </w:r>
      <w:r w:rsidRPr="00980644">
        <w:rPr>
          <w:b/>
        </w:rPr>
        <w:t>1</w:t>
      </w:r>
      <w:r w:rsidRPr="00980644">
        <w:t>-</w:t>
      </w:r>
      <w:r w:rsidRPr="00980644">
        <w:rPr>
          <w:b/>
        </w:rPr>
        <w:t>3</w:t>
      </w:r>
      <w:r w:rsidRPr="00980644">
        <w:t xml:space="preserve"> inspired by its structure and to explore their transmembrane anion transport activity. The inclusion of a methoxyfuran heterocycle in the structure impact</w:t>
      </w:r>
      <w:r w:rsidR="00495050" w:rsidRPr="00980644">
        <w:t>s</w:t>
      </w:r>
      <w:r w:rsidRPr="00980644">
        <w:t xml:space="preserve"> the anionophoric activity of the compounds as a result of the reduced hydrogen</w:t>
      </w:r>
      <w:r w:rsidR="00495050" w:rsidRPr="00980644">
        <w:t>-</w:t>
      </w:r>
      <w:r w:rsidRPr="00980644">
        <w:t>bonding ability and electrostatic repulsions between the oxygen of the furan ring and the anions. The position of the furan in these derivatives compounds was also found crucial for determining their anion transport activity. Overall, replacement of the characteristic methoxy</w:t>
      </w:r>
      <w:r w:rsidR="004E671F" w:rsidRPr="00980644">
        <w:t>p</w:t>
      </w:r>
      <w:r w:rsidRPr="00980644">
        <w:t xml:space="preserve">yrrole moiety of prodiginines and tambjamines by the methoxyfuran found </w:t>
      </w:r>
      <w:r w:rsidR="00495050" w:rsidRPr="00980644">
        <w:t>in</w:t>
      </w:r>
      <w:r w:rsidRPr="00980644">
        <w:t xml:space="preserve"> rose</w:t>
      </w:r>
      <w:r w:rsidR="00495050" w:rsidRPr="00980644">
        <w:t>o</w:t>
      </w:r>
      <w:r w:rsidRPr="00980644">
        <w:t xml:space="preserve">philin is detrimental for their ability as anion carriers, suggesting that the biological activity of roseophilin is likely not related to its potential activity as anion carrier. Compound </w:t>
      </w:r>
      <w:r w:rsidRPr="00980644">
        <w:rPr>
          <w:b/>
        </w:rPr>
        <w:t>2</w:t>
      </w:r>
      <w:r w:rsidRPr="00980644">
        <w:t>, bearing a furan ring attached to a dipyrromethene moiety</w:t>
      </w:r>
      <w:r w:rsidR="00495050" w:rsidRPr="00980644">
        <w:t>,</w:t>
      </w:r>
      <w:r w:rsidRPr="00980644">
        <w:t xml:space="preserve"> was found to be the most active anion carrier.</w:t>
      </w:r>
    </w:p>
    <w:p w14:paraId="23DFA006" w14:textId="72AF4C91" w:rsidR="0020415E" w:rsidRPr="00980644" w:rsidRDefault="00997B0F" w:rsidP="00F30DFF">
      <w:pPr>
        <w:pStyle w:val="Keywords"/>
      </w:pPr>
      <w:r w:rsidRPr="00980644">
        <w:t xml:space="preserve">Keywords: </w:t>
      </w:r>
      <w:r w:rsidR="00B20C8B" w:rsidRPr="00980644">
        <w:t>supramolecular chemistry, ionophores</w:t>
      </w:r>
      <w:r w:rsidR="0063714D" w:rsidRPr="00980644">
        <w:t>,</w:t>
      </w:r>
      <w:r w:rsidRPr="00980644">
        <w:t xml:space="preserve"> </w:t>
      </w:r>
      <w:r w:rsidR="00B20C8B" w:rsidRPr="00980644">
        <w:t>alkaloids</w:t>
      </w:r>
      <w:r w:rsidR="0063714D" w:rsidRPr="00980644">
        <w:t>,</w:t>
      </w:r>
      <w:r w:rsidRPr="00980644">
        <w:t xml:space="preserve"> </w:t>
      </w:r>
      <w:r w:rsidR="00B20C8B" w:rsidRPr="00980644">
        <w:t>roseophilin, vesicles</w:t>
      </w:r>
      <w:r w:rsidR="00A43E94" w:rsidRPr="00980644">
        <w:t>, anion transport</w:t>
      </w:r>
    </w:p>
    <w:p w14:paraId="19B1BA7D" w14:textId="77777777" w:rsidR="00E13918" w:rsidRPr="00980644" w:rsidRDefault="002862FA" w:rsidP="002862FA">
      <w:pPr>
        <w:pStyle w:val="Ttulo1"/>
      </w:pPr>
      <w:r w:rsidRPr="00980644">
        <w:rPr>
          <w:b w:val="0"/>
          <w:bCs w:val="0"/>
        </w:rPr>
        <w:t>1.</w:t>
      </w:r>
      <w:r w:rsidRPr="00980644">
        <w:t xml:space="preserve"> </w:t>
      </w:r>
      <w:r w:rsidR="00E13918" w:rsidRPr="00980644">
        <w:t>Introduction</w:t>
      </w:r>
    </w:p>
    <w:p w14:paraId="524C0275" w14:textId="10EAEB46" w:rsidR="00E13918" w:rsidRPr="00980644" w:rsidRDefault="00BB39F7" w:rsidP="00E71CDE">
      <w:pPr>
        <w:pStyle w:val="Paragraph"/>
        <w:ind w:firstLine="720"/>
        <w:jc w:val="both"/>
      </w:pPr>
      <w:r w:rsidRPr="00980644">
        <w:t>In recent years, development of small molecules capable of promoting the transmembrane transport of anions, anionophores, has attracted significant attention</w:t>
      </w:r>
      <w:r w:rsidR="00C8606D" w:rsidRPr="00980644">
        <w:t xml:space="preserve"> [1-3]</w:t>
      </w:r>
      <w:r w:rsidRPr="00980644">
        <w:t xml:space="preserve">. Using core supramolecular concepts, it is possible to apply rational design to produce this type </w:t>
      </w:r>
      <w:r w:rsidR="003866AE" w:rsidRPr="00980644">
        <w:t xml:space="preserve">of </w:t>
      </w:r>
      <w:r w:rsidRPr="00980644">
        <w:t>molecules</w:t>
      </w:r>
      <w:r w:rsidR="00C8606D" w:rsidRPr="00980644">
        <w:t xml:space="preserve"> [4-5]</w:t>
      </w:r>
      <w:r w:rsidRPr="00980644">
        <w:t xml:space="preserve">. Biological activities of these compounds and the prospects of developing future drugs based on this </w:t>
      </w:r>
      <w:r w:rsidR="00FF174A" w:rsidRPr="00980644">
        <w:t>mechanism of action</w:t>
      </w:r>
      <w:r w:rsidRPr="00980644">
        <w:t xml:space="preserve"> has fuelled the interest in this area</w:t>
      </w:r>
      <w:r w:rsidR="00C8606D" w:rsidRPr="00980644">
        <w:t xml:space="preserve"> [6-8]</w:t>
      </w:r>
      <w:r w:rsidRPr="00980644">
        <w:t xml:space="preserve">. The alteration of cellular homeostasis </w:t>
      </w:r>
      <w:r w:rsidR="00270EA3" w:rsidRPr="00980644">
        <w:t>could induce cellular toxicity and stress resulting in anticancer or antimicrobial activity</w:t>
      </w:r>
      <w:r w:rsidR="00C8606D" w:rsidRPr="00980644">
        <w:t xml:space="preserve"> [9-13]</w:t>
      </w:r>
      <w:r w:rsidR="00270EA3" w:rsidRPr="00980644">
        <w:t>. Replacing the activity of faulty natural transport proteins could also be an interesting therapeutic approach to conditions such as cystic fibrosis related to this problem</w:t>
      </w:r>
      <w:r w:rsidR="00C8606D" w:rsidRPr="00980644">
        <w:t xml:space="preserve"> [14-16]</w:t>
      </w:r>
      <w:r w:rsidR="00270EA3" w:rsidRPr="00980644">
        <w:t>. In addition to purely synthetic anionophore</w:t>
      </w:r>
      <w:r w:rsidR="0013460E" w:rsidRPr="00980644">
        <w:t>s</w:t>
      </w:r>
      <w:r w:rsidR="00270EA3" w:rsidRPr="00980644">
        <w:t xml:space="preserve">, natural products represent an important inspiration </w:t>
      </w:r>
      <w:r w:rsidR="0013460E" w:rsidRPr="00980644">
        <w:t xml:space="preserve">for </w:t>
      </w:r>
      <w:r w:rsidR="00E544DB" w:rsidRPr="00980644">
        <w:t xml:space="preserve">the design </w:t>
      </w:r>
      <w:r w:rsidR="00E544DB" w:rsidRPr="00980644">
        <w:lastRenderedPageBreak/>
        <w:t>of</w:t>
      </w:r>
      <w:r w:rsidR="0013460E" w:rsidRPr="00980644">
        <w:t xml:space="preserve"> these compounds. In particular, prodigi</w:t>
      </w:r>
      <w:r w:rsidR="00E544DB" w:rsidRPr="00980644">
        <w:t>ni</w:t>
      </w:r>
      <w:r w:rsidR="0013460E" w:rsidRPr="00980644">
        <w:t>n</w:t>
      </w:r>
      <w:r w:rsidR="00C8606D" w:rsidRPr="00980644">
        <w:t>e</w:t>
      </w:r>
      <w:r w:rsidR="0013460E" w:rsidRPr="00980644">
        <w:t xml:space="preserve"> and tambjamine alkaloids represent examples of biologically active anionophores</w:t>
      </w:r>
      <w:r w:rsidR="00C8606D" w:rsidRPr="00980644">
        <w:t xml:space="preserve"> (Figure 1) [17-18]</w:t>
      </w:r>
      <w:r w:rsidR="0013460E" w:rsidRPr="00980644">
        <w:t>. These compounds are characteri</w:t>
      </w:r>
      <w:r w:rsidR="009D5D4E" w:rsidRPr="00980644">
        <w:t>s</w:t>
      </w:r>
      <w:r w:rsidR="0013460E" w:rsidRPr="00980644">
        <w:t>ed by a methoxybipyrrol</w:t>
      </w:r>
      <w:r w:rsidR="00E544DB" w:rsidRPr="00980644">
        <w:t>e</w:t>
      </w:r>
      <w:r w:rsidR="0013460E" w:rsidRPr="00980644">
        <w:t xml:space="preserve"> moiety and their intriguing pharmacological properties are linked to their activity as anionophores</w:t>
      </w:r>
      <w:r w:rsidR="00C8606D" w:rsidRPr="00980644">
        <w:t xml:space="preserve"> [19]</w:t>
      </w:r>
      <w:r w:rsidR="0013460E" w:rsidRPr="00980644">
        <w:t>.</w:t>
      </w:r>
      <w:r w:rsidRPr="00980644">
        <w:t xml:space="preserve"> </w:t>
      </w:r>
      <w:r w:rsidR="009E2064" w:rsidRPr="00980644">
        <w:t>Roseophilin represents another group of natural alkaloids rela</w:t>
      </w:r>
      <w:r w:rsidR="0013460E" w:rsidRPr="00980644">
        <w:t>ted to the prodiginine family</w:t>
      </w:r>
      <w:r w:rsidR="00C8606D" w:rsidRPr="00980644">
        <w:t xml:space="preserve"> (Figure 1) [20]</w:t>
      </w:r>
      <w:r w:rsidR="0013460E" w:rsidRPr="00980644">
        <w:t xml:space="preserve">. </w:t>
      </w:r>
      <w:r w:rsidR="009E2064" w:rsidRPr="00980644">
        <w:t xml:space="preserve">This product was first isolated from a culture broth of </w:t>
      </w:r>
      <w:r w:rsidR="009E2064" w:rsidRPr="00980644">
        <w:rPr>
          <w:i/>
        </w:rPr>
        <w:t>Streptomices</w:t>
      </w:r>
      <w:r w:rsidR="009E2064" w:rsidRPr="00980644">
        <w:t>. Its structure combines a strained macrocycle motif joined to an extended conjugated heterocycle core, responsible of the intense red colour of the compound. Although this product shares with their relatives the azafulvene structure, the methoxypyrrole ring of the prodiginines’ backbone is replaced by a metho</w:t>
      </w:r>
      <w:r w:rsidR="0013460E" w:rsidRPr="00980644">
        <w:t xml:space="preserve">xyfuran </w:t>
      </w:r>
      <w:r w:rsidR="00E544DB" w:rsidRPr="00980644">
        <w:t xml:space="preserve">moiety </w:t>
      </w:r>
      <w:r w:rsidR="0013460E" w:rsidRPr="00980644">
        <w:t xml:space="preserve">in roseophilin skeleton. </w:t>
      </w:r>
      <w:r w:rsidR="009E2064" w:rsidRPr="00980644">
        <w:t>The main biological application of roseophilin is related to its cytotoxicity against some cancer cell lines (human erythroid leukemia and human epidermoid carcinoma)</w:t>
      </w:r>
      <w:r w:rsidR="00952A45" w:rsidRPr="00980644">
        <w:t xml:space="preserve"> [21-22]</w:t>
      </w:r>
      <w:r w:rsidR="009E2064" w:rsidRPr="00980644">
        <w:t>. Its mechanism of action is still</w:t>
      </w:r>
      <w:r w:rsidR="00E544DB" w:rsidRPr="00980644">
        <w:t xml:space="preserve"> </w:t>
      </w:r>
      <w:r w:rsidR="009E2064" w:rsidRPr="00980644">
        <w:t>unknown</w:t>
      </w:r>
      <w:r w:rsidR="00E544DB" w:rsidRPr="00980644">
        <w:t>,</w:t>
      </w:r>
      <w:r w:rsidR="009E2064" w:rsidRPr="00980644">
        <w:t xml:space="preserve"> </w:t>
      </w:r>
      <w:r w:rsidR="0013460E" w:rsidRPr="00980644">
        <w:t>although it</w:t>
      </w:r>
      <w:r w:rsidR="009E2064" w:rsidRPr="00980644">
        <w:t xml:space="preserve"> seems to be not associated to DNA</w:t>
      </w:r>
      <w:r w:rsidR="00E544DB" w:rsidRPr="00980644">
        <w:t xml:space="preserve"> </w:t>
      </w:r>
      <w:r w:rsidR="009E2064" w:rsidRPr="00980644">
        <w:t>damage under oxidative conditions</w:t>
      </w:r>
      <w:r w:rsidR="00952A45" w:rsidRPr="00980644">
        <w:t xml:space="preserve"> [23]</w:t>
      </w:r>
      <w:r w:rsidR="009E2064" w:rsidRPr="00980644">
        <w:t xml:space="preserve">. Despite the efforts to find an effective total synthesis of this natural product and the different projects to study its biological activity, there are no previous reports about the syntheses of natural product-mimetics of </w:t>
      </w:r>
      <w:r w:rsidR="0013460E" w:rsidRPr="00980644">
        <w:t>roseophilin</w:t>
      </w:r>
      <w:r w:rsidR="009E2064" w:rsidRPr="00980644">
        <w:t xml:space="preserve"> and their transmembrane anion transport properties have never been tested either.</w:t>
      </w:r>
      <w:r w:rsidR="0013460E" w:rsidRPr="00980644">
        <w:t xml:space="preserve"> In this work we decided to prepare derivatives inspired in the structure of roseophilin and to explore their anionophoric properties.</w:t>
      </w:r>
    </w:p>
    <w:p w14:paraId="1511F840" w14:textId="1B71E002" w:rsidR="00180BC0" w:rsidRPr="00980644" w:rsidRDefault="007566DD" w:rsidP="00180BC0">
      <w:pPr>
        <w:pStyle w:val="Newparagraph"/>
        <w:jc w:val="center"/>
      </w:pPr>
      <w:r>
        <w:pict w14:anchorId="1880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127pt">
            <v:imagedata r:id="rId9" o:title=""/>
          </v:shape>
        </w:pict>
      </w:r>
    </w:p>
    <w:p w14:paraId="310CC7F4" w14:textId="224BC3B7" w:rsidR="00180BC0" w:rsidRPr="00980644" w:rsidRDefault="00180BC0" w:rsidP="00180BC0">
      <w:pPr>
        <w:pStyle w:val="Newparagraph"/>
        <w:ind w:firstLine="0"/>
        <w:jc w:val="both"/>
      </w:pPr>
      <w:r w:rsidRPr="00980644">
        <w:t>Figure 1. Natural alkaloids</w:t>
      </w:r>
    </w:p>
    <w:p w14:paraId="4907336C" w14:textId="77777777" w:rsidR="002862FA" w:rsidRPr="00980644" w:rsidRDefault="002862FA" w:rsidP="002862FA">
      <w:pPr>
        <w:pStyle w:val="Ttulo1"/>
      </w:pPr>
      <w:r w:rsidRPr="00980644">
        <w:lastRenderedPageBreak/>
        <w:t>2. Materials and methods</w:t>
      </w:r>
    </w:p>
    <w:p w14:paraId="344C85CF" w14:textId="77777777" w:rsidR="002862FA" w:rsidRPr="00980644" w:rsidRDefault="002862FA" w:rsidP="002862FA">
      <w:pPr>
        <w:pStyle w:val="Ttulo2"/>
      </w:pPr>
      <w:r w:rsidRPr="00980644">
        <w:t>2.1 General experimental details</w:t>
      </w:r>
    </w:p>
    <w:p w14:paraId="45CE07C5" w14:textId="51110013" w:rsidR="00135D1E" w:rsidRPr="00980644" w:rsidRDefault="00135D1E" w:rsidP="00E71CDE">
      <w:pPr>
        <w:autoSpaceDE w:val="0"/>
        <w:autoSpaceDN w:val="0"/>
        <w:adjustRightInd w:val="0"/>
        <w:spacing w:before="240"/>
        <w:ind w:firstLine="720"/>
        <w:jc w:val="both"/>
      </w:pPr>
      <w:r w:rsidRPr="00980644">
        <w:t>All reactions involving air</w:t>
      </w:r>
      <w:r w:rsidR="008949C4" w:rsidRPr="00980644">
        <w:t>-</w:t>
      </w:r>
      <w:r w:rsidRPr="00980644">
        <w:t>sensitive compounds were carried out under a nitrogen atmosphere. Oxygen was evacuated and purged with nitrogen</w:t>
      </w:r>
      <w:r w:rsidR="008949C4" w:rsidRPr="00980644">
        <w:t>,</w:t>
      </w:r>
      <w:r w:rsidRPr="00980644">
        <w:t xml:space="preserve"> and deoxygenation processes were carried out by bubbling with a continuous nitrogen flow.</w:t>
      </w:r>
      <w:r w:rsidR="00003D61" w:rsidRPr="00980644">
        <w:t xml:space="preserve"> </w:t>
      </w:r>
      <w:r w:rsidRPr="00980644">
        <w:t xml:space="preserve">Starting materials and solvents were obtained from commercial suppliers and used without further purification. TLC analysis was performed on aluminium-backed plates coated with silica gel 60 with F254 indicator or plastic TLC plates coated with aluminium oxide 60 neutral with F254 indicator; the plates were visualized under 254 or 366 nm light. Flash column chromatography was carried out in silica gel 60, 230−350 mesh ASTM; or aluminium oxide 90 activated, neutral, -60 mesh powder, Brockman grade I, 58 </w:t>
      </w:r>
      <w:r w:rsidRPr="00980644">
        <w:rPr>
          <w:shd w:val="clear" w:color="auto" w:fill="FFFFFF"/>
        </w:rPr>
        <w:t>Å</w:t>
      </w:r>
      <w:r w:rsidRPr="00980644">
        <w:t>.</w:t>
      </w:r>
      <w:bookmarkStart w:id="1" w:name="_Hlk71822769"/>
      <w:r w:rsidRPr="00980644">
        <w:t xml:space="preserve"> NMR spectra were recorded on a Varian </w:t>
      </w:r>
      <w:r w:rsidR="00221C7D" w:rsidRPr="00980644">
        <w:t>Mercury</w:t>
      </w:r>
      <w:r w:rsidRPr="00980644">
        <w:t xml:space="preserve"> 300 MHz or Bruker </w:t>
      </w:r>
      <w:r w:rsidR="00221C7D" w:rsidRPr="00980644">
        <w:t>Avance</w:t>
      </w:r>
      <w:r w:rsidR="00EE752F" w:rsidRPr="00980644">
        <w:t xml:space="preserve"> III HD 3</w:t>
      </w:r>
      <w:r w:rsidRPr="00980644">
        <w:t>00 MHz</w:t>
      </w:r>
      <w:bookmarkEnd w:id="1"/>
      <w:r w:rsidRPr="00980644">
        <w:t xml:space="preserve">. </w:t>
      </w:r>
      <w:r w:rsidR="00003D61" w:rsidRPr="00980644">
        <w:t>C</w:t>
      </w:r>
      <w:r w:rsidRPr="00980644">
        <w:t xml:space="preserve">hemical shifts for </w:t>
      </w:r>
      <w:r w:rsidRPr="00980644">
        <w:rPr>
          <w:vertAlign w:val="superscript"/>
        </w:rPr>
        <w:t>1</w:t>
      </w:r>
      <w:r w:rsidRPr="00980644">
        <w:t xml:space="preserve">H </w:t>
      </w:r>
      <w:r w:rsidR="00003D61" w:rsidRPr="00980644">
        <w:t xml:space="preserve">and </w:t>
      </w:r>
      <w:r w:rsidR="00003D61" w:rsidRPr="00980644">
        <w:rPr>
          <w:vertAlign w:val="superscript"/>
        </w:rPr>
        <w:t>13</w:t>
      </w:r>
      <w:r w:rsidR="00003D61" w:rsidRPr="00980644">
        <w:t xml:space="preserve">C </w:t>
      </w:r>
      <w:r w:rsidRPr="00980644">
        <w:t>NMR are reported in parts per million (ppm)</w:t>
      </w:r>
      <w:r w:rsidR="005A1246" w:rsidRPr="00980644">
        <w:t>,</w:t>
      </w:r>
      <w:r w:rsidRPr="00980644">
        <w:t xml:space="preserve"> using the residual solvent peak as reference</w:t>
      </w:r>
      <w:r w:rsidR="005A1246" w:rsidRPr="00980644">
        <w:t>,</w:t>
      </w:r>
      <w:r w:rsidR="00003D61" w:rsidRPr="00980644">
        <w:t xml:space="preserve"> and</w:t>
      </w:r>
      <w:r w:rsidRPr="00980644">
        <w:t xml:space="preserve"> </w:t>
      </w:r>
      <w:r w:rsidRPr="00980644">
        <w:rPr>
          <w:vertAlign w:val="superscript"/>
        </w:rPr>
        <w:t>13</w:t>
      </w:r>
      <w:r w:rsidRPr="00980644">
        <w:t xml:space="preserve">C NMR spectra were recorded using broad band proton decoupling. </w:t>
      </w:r>
      <w:r w:rsidR="007373D8" w:rsidRPr="00980644">
        <w:rPr>
          <w:vertAlign w:val="superscript"/>
        </w:rPr>
        <w:t>1</w:t>
      </w:r>
      <w:r w:rsidR="007373D8" w:rsidRPr="00980644">
        <w:t xml:space="preserve">H NMR coupling constants are reported in Hz and splitting pattern abbreviations are: s = singlet, t = triplet, dd = doublet of doublets, br = broad, m = multiplet. </w:t>
      </w:r>
      <w:r w:rsidR="00003D61" w:rsidRPr="00980644">
        <w:t>M</w:t>
      </w:r>
      <w:r w:rsidRPr="00980644">
        <w:t>ultiplicities</w:t>
      </w:r>
      <w:r w:rsidR="00003D61" w:rsidRPr="00980644">
        <w:t xml:space="preserve"> in </w:t>
      </w:r>
      <w:r w:rsidR="00003D61" w:rsidRPr="00980644">
        <w:rPr>
          <w:vertAlign w:val="superscript"/>
        </w:rPr>
        <w:t>13</w:t>
      </w:r>
      <w:r w:rsidR="00003D61" w:rsidRPr="00980644">
        <w:t>C NMR</w:t>
      </w:r>
      <w:r w:rsidRPr="00980644">
        <w:t xml:space="preserve"> (CH</w:t>
      </w:r>
      <w:r w:rsidRPr="00980644">
        <w:rPr>
          <w:vertAlign w:val="subscript"/>
        </w:rPr>
        <w:t>3</w:t>
      </w:r>
      <w:r w:rsidRPr="00980644">
        <w:t>, CH</w:t>
      </w:r>
      <w:r w:rsidRPr="00980644">
        <w:rPr>
          <w:vertAlign w:val="subscript"/>
        </w:rPr>
        <w:t>2</w:t>
      </w:r>
      <w:r w:rsidRPr="00980644">
        <w:t xml:space="preserve">, CH and quaternary carbons as Cq) were determined by DEPT 135 experiments. High resolution mass spectra (HRMS) were recorded </w:t>
      </w:r>
      <w:r w:rsidR="00003D61" w:rsidRPr="00980644">
        <w:t xml:space="preserve">in </w:t>
      </w:r>
      <w:r w:rsidR="005A1246" w:rsidRPr="00980644">
        <w:t xml:space="preserve">an </w:t>
      </w:r>
      <w:r w:rsidRPr="00980644">
        <w:t xml:space="preserve">Agilent 6545 Q-TOF </w:t>
      </w:r>
      <w:r w:rsidR="00CF33B4" w:rsidRPr="00980644">
        <w:t xml:space="preserve">spectrometer </w:t>
      </w:r>
      <w:r w:rsidRPr="00980644">
        <w:t xml:space="preserve">using </w:t>
      </w:r>
      <w:r w:rsidR="00982AE2" w:rsidRPr="00980644">
        <w:t>+</w:t>
      </w:r>
      <w:r w:rsidRPr="00980644">
        <w:t>ESI</w:t>
      </w:r>
      <w:r w:rsidR="00D12BED" w:rsidRPr="00980644">
        <w:t xml:space="preserve"> </w:t>
      </w:r>
      <w:r w:rsidR="00BB2CDC" w:rsidRPr="00980644">
        <w:t xml:space="preserve">and </w:t>
      </w:r>
      <w:r w:rsidR="00474A38" w:rsidRPr="00980644">
        <w:t xml:space="preserve">the </w:t>
      </w:r>
      <w:r w:rsidR="00BB2CDC" w:rsidRPr="00980644">
        <w:t>r</w:t>
      </w:r>
      <w:r w:rsidRPr="00980644">
        <w:t xml:space="preserve">esults are reported as </w:t>
      </w:r>
      <w:r w:rsidRPr="00980644">
        <w:rPr>
          <w:i/>
        </w:rPr>
        <w:t>m/z</w:t>
      </w:r>
      <w:r w:rsidRPr="00980644">
        <w:t>.</w:t>
      </w:r>
    </w:p>
    <w:p w14:paraId="0C0CF832" w14:textId="1A87AA7E" w:rsidR="002C23C2" w:rsidRPr="00980644" w:rsidRDefault="002C23C2" w:rsidP="002C23C2">
      <w:pPr>
        <w:pStyle w:val="Ttulo2"/>
      </w:pPr>
      <w:r w:rsidRPr="00980644">
        <w:t xml:space="preserve">2.2 </w:t>
      </w:r>
      <w:r w:rsidR="0024066E" w:rsidRPr="00980644">
        <w:t>Synthesis of compounds</w:t>
      </w:r>
    </w:p>
    <w:p w14:paraId="7F7CAE7E" w14:textId="5DFEC14E" w:rsidR="00E45E27" w:rsidRPr="00980644" w:rsidRDefault="00E45E27" w:rsidP="006212DF">
      <w:pPr>
        <w:pStyle w:val="Paragraph"/>
        <w:jc w:val="both"/>
        <w:rPr>
          <w:szCs w:val="22"/>
        </w:rPr>
      </w:pPr>
      <w:r w:rsidRPr="00980644">
        <w:t xml:space="preserve">Compounds </w:t>
      </w:r>
      <w:r w:rsidRPr="00980644">
        <w:rPr>
          <w:b/>
          <w:bCs/>
        </w:rPr>
        <w:t xml:space="preserve">7 </w:t>
      </w:r>
      <w:r w:rsidRPr="00980644">
        <w:t xml:space="preserve">and </w:t>
      </w:r>
      <w:r w:rsidRPr="00980644">
        <w:rPr>
          <w:b/>
          <w:bCs/>
        </w:rPr>
        <w:t>9</w:t>
      </w:r>
      <w:r w:rsidRPr="00980644">
        <w:t xml:space="preserve"> were prepared according to previously reported synthetic procedure</w:t>
      </w:r>
      <w:r w:rsidR="00E544DB" w:rsidRPr="00980644">
        <w:t>s</w:t>
      </w:r>
      <w:r w:rsidRPr="00980644">
        <w:t xml:space="preserve"> and showed identical spectroscopic properties to th</w:t>
      </w:r>
      <w:r w:rsidR="00E544DB" w:rsidRPr="00980644">
        <w:t>ose</w:t>
      </w:r>
      <w:r w:rsidRPr="00980644">
        <w:t xml:space="preserve"> reported therein</w:t>
      </w:r>
      <w:r w:rsidR="001A17D7" w:rsidRPr="00980644">
        <w:t xml:space="preserve"> [24-2</w:t>
      </w:r>
      <w:r w:rsidR="00525A14" w:rsidRPr="00980644">
        <w:t>6</w:t>
      </w:r>
      <w:r w:rsidR="001A17D7" w:rsidRPr="00980644">
        <w:t>]</w:t>
      </w:r>
      <w:r w:rsidRPr="00980644">
        <w:t>.</w:t>
      </w:r>
      <w:r w:rsidRPr="00980644">
        <w:rPr>
          <w:b/>
          <w:bCs/>
        </w:rPr>
        <w:t xml:space="preserve"> </w:t>
      </w:r>
      <w:bookmarkStart w:id="2" w:name="_Hlk71824462"/>
    </w:p>
    <w:bookmarkEnd w:id="2"/>
    <w:p w14:paraId="689A51A8" w14:textId="77777777" w:rsidR="00676647" w:rsidRPr="00980644" w:rsidRDefault="00676647" w:rsidP="00676647">
      <w:pPr>
        <w:pStyle w:val="Ttulo3"/>
        <w:rPr>
          <w:szCs w:val="24"/>
        </w:rPr>
      </w:pPr>
      <w:r w:rsidRPr="00980644">
        <w:rPr>
          <w:szCs w:val="24"/>
        </w:rPr>
        <w:lastRenderedPageBreak/>
        <w:t xml:space="preserve">Synthesis of </w:t>
      </w:r>
      <w:r w:rsidRPr="00980644">
        <w:rPr>
          <w:bCs w:val="0"/>
          <w:szCs w:val="24"/>
        </w:rPr>
        <w:t>(Z)-2-((3-Methoxy-5-(1H-pyrrol-2-yl)furan-2-yl)methylene)-3,5-dimethyl-2H-pyrrol-1-ium chloride</w:t>
      </w:r>
      <w:r w:rsidRPr="00980644">
        <w:rPr>
          <w:b/>
          <w:szCs w:val="24"/>
        </w:rPr>
        <w:t xml:space="preserve"> </w:t>
      </w:r>
      <w:r w:rsidRPr="00980644">
        <w:rPr>
          <w:szCs w:val="24"/>
        </w:rPr>
        <w:t>(</w:t>
      </w:r>
      <w:r w:rsidRPr="00980644">
        <w:rPr>
          <w:b/>
          <w:bCs w:val="0"/>
          <w:szCs w:val="24"/>
        </w:rPr>
        <w:t>1</w:t>
      </w:r>
      <w:r w:rsidRPr="00980644">
        <w:rPr>
          <w:szCs w:val="24"/>
        </w:rPr>
        <w:t>)</w:t>
      </w:r>
    </w:p>
    <w:p w14:paraId="033B7C6B" w14:textId="737465FC" w:rsidR="00676647" w:rsidRPr="00980644" w:rsidRDefault="00676647" w:rsidP="00676647">
      <w:pPr>
        <w:tabs>
          <w:tab w:val="left" w:pos="7513"/>
        </w:tabs>
        <w:spacing w:before="120" w:after="120"/>
        <w:jc w:val="both"/>
      </w:pPr>
      <w:r w:rsidRPr="00980644">
        <w:rPr>
          <w:lang w:eastAsia="es-ES"/>
        </w:rPr>
        <w:t>2,4-dimethyl-pyrrole (</w:t>
      </w:r>
      <w:r w:rsidR="00492917" w:rsidRPr="00980644">
        <w:rPr>
          <w:lang w:eastAsia="es-ES"/>
        </w:rPr>
        <w:t>0.11</w:t>
      </w:r>
      <w:r w:rsidRPr="00980644">
        <w:rPr>
          <w:lang w:eastAsia="es-ES"/>
        </w:rPr>
        <w:t xml:space="preserve"> </w:t>
      </w:r>
      <w:r w:rsidR="00492917" w:rsidRPr="00980644">
        <w:rPr>
          <w:lang w:eastAsia="es-ES"/>
        </w:rPr>
        <w:t>m</w:t>
      </w:r>
      <w:r w:rsidRPr="00980644">
        <w:rPr>
          <w:lang w:eastAsia="es-ES"/>
        </w:rPr>
        <w:t>L, 1.0</w:t>
      </w:r>
      <w:r w:rsidR="00353B38" w:rsidRPr="00980644">
        <w:rPr>
          <w:lang w:eastAsia="es-ES"/>
        </w:rPr>
        <w:t>0</w:t>
      </w:r>
      <w:r w:rsidRPr="00980644">
        <w:rPr>
          <w:lang w:eastAsia="es-ES"/>
        </w:rPr>
        <w:t xml:space="preserve"> mmol, 2.0 equiv.) was added to a deoxygenated solution of aldehyde </w:t>
      </w:r>
      <w:r w:rsidR="00492917" w:rsidRPr="00980644">
        <w:rPr>
          <w:b/>
          <w:bCs/>
          <w:lang w:eastAsia="es-ES"/>
        </w:rPr>
        <w:t>4</w:t>
      </w:r>
      <w:r w:rsidRPr="00980644">
        <w:rPr>
          <w:lang w:eastAsia="es-ES"/>
        </w:rPr>
        <w:t xml:space="preserve"> (0.10 g, 0.5</w:t>
      </w:r>
      <w:r w:rsidR="00353B38" w:rsidRPr="00980644">
        <w:rPr>
          <w:lang w:eastAsia="es-ES"/>
        </w:rPr>
        <w:t>0</w:t>
      </w:r>
      <w:r w:rsidRPr="00980644">
        <w:rPr>
          <w:lang w:eastAsia="es-ES"/>
        </w:rPr>
        <w:t xml:space="preserve"> mmol, 1.0 equiv.) in methanol (5 mL) under nitrogen. Then, HCl in methanol (0.5 M, 1.97 mL, 1</w:t>
      </w:r>
      <w:r w:rsidR="00353B38" w:rsidRPr="00980644">
        <w:rPr>
          <w:lang w:eastAsia="es-ES"/>
        </w:rPr>
        <w:t>.0</w:t>
      </w:r>
      <w:r w:rsidRPr="00980644">
        <w:rPr>
          <w:lang w:eastAsia="es-ES"/>
        </w:rPr>
        <w:t xml:space="preserve"> mmol, 2.0 equiv.) was added dropwise to the mixture. The reaction was stirred under nitrogen </w:t>
      </w:r>
      <w:r w:rsidR="00E544DB" w:rsidRPr="00980644">
        <w:rPr>
          <w:lang w:eastAsia="es-ES"/>
        </w:rPr>
        <w:t xml:space="preserve">atmosphere </w:t>
      </w:r>
      <w:r w:rsidRPr="00980644">
        <w:rPr>
          <w:lang w:eastAsia="es-ES"/>
        </w:rPr>
        <w:t xml:space="preserve">at room temperature for 5 hours. After this time, the crude was concentrated to dryness. Then, the residue was purified by precipitation in a mixture of dichloromethane and diethyl ether. The resulting dark-green precipitate was filtered off in a plate to give the prodiginine-like product </w:t>
      </w:r>
      <w:r w:rsidRPr="00980644">
        <w:rPr>
          <w:b/>
          <w:bCs/>
          <w:lang w:eastAsia="es-ES"/>
        </w:rPr>
        <w:t>1</w:t>
      </w:r>
      <w:r w:rsidRPr="00980644">
        <w:rPr>
          <w:lang w:eastAsia="es-ES"/>
        </w:rPr>
        <w:t xml:space="preserve"> (0.11 g, 70%). </w:t>
      </w:r>
      <w:r w:rsidRPr="00980644">
        <w:rPr>
          <w:b/>
          <w:vertAlign w:val="superscript"/>
          <w:lang w:eastAsia="es-ES"/>
        </w:rPr>
        <w:t>1</w:t>
      </w:r>
      <w:r w:rsidRPr="00980644">
        <w:rPr>
          <w:b/>
          <w:lang w:eastAsia="es-ES"/>
        </w:rPr>
        <w:t>H NMR</w:t>
      </w:r>
      <w:r w:rsidRPr="00980644">
        <w:rPr>
          <w:lang w:eastAsia="es-ES"/>
        </w:rPr>
        <w:t xml:space="preserve"> (300 MHz, CDCl</w:t>
      </w:r>
      <w:r w:rsidRPr="00980644">
        <w:rPr>
          <w:vertAlign w:val="subscript"/>
          <w:lang w:eastAsia="es-ES"/>
        </w:rPr>
        <w:t>3</w:t>
      </w:r>
      <w:r w:rsidRPr="00980644">
        <w:rPr>
          <w:lang w:eastAsia="es-ES"/>
        </w:rPr>
        <w:t xml:space="preserve">) δ (ppm) 14.26 (1H, br s), 12.72 (1H, br s), 7.45-7.40 (1H, m), 7.02-6.97 (1H, m), 6.92 (1H, s), 6.44 (1H, br s), 6.42-6.35 (1H, m), 6.14-6.11 (1H, m), 4.11 (3H, s), 2.79 (3H, s), 2.30 (3H, s); </w:t>
      </w:r>
      <w:r w:rsidRPr="00980644">
        <w:rPr>
          <w:b/>
          <w:vertAlign w:val="superscript"/>
          <w:lang w:eastAsia="es-ES"/>
        </w:rPr>
        <w:t>13</w:t>
      </w:r>
      <w:r w:rsidRPr="00980644">
        <w:rPr>
          <w:b/>
          <w:lang w:eastAsia="es-ES"/>
        </w:rPr>
        <w:t>C NMR</w:t>
      </w:r>
      <w:r w:rsidRPr="00980644">
        <w:rPr>
          <w:lang w:eastAsia="es-ES"/>
        </w:rPr>
        <w:t xml:space="preserve"> (75 MHz, CDCl</w:t>
      </w:r>
      <w:r w:rsidRPr="00980644">
        <w:rPr>
          <w:vertAlign w:val="subscript"/>
          <w:lang w:eastAsia="es-ES"/>
        </w:rPr>
        <w:t>3</w:t>
      </w:r>
      <w:r w:rsidRPr="00980644">
        <w:rPr>
          <w:lang w:eastAsia="es-ES"/>
        </w:rPr>
        <w:t>) δ (ppm) 168.3 (Cq), 164.0 (Cq), 154.9 (Cq), 142.9 (Cq), 136.5 (Cq), 130.1 (CH), 126.2 (Cq), 120.9 (Cq), 118.9 (CH), 117.3 (CH), 113.1 (CH), 111.0 (CH), 95.0 (CH), 60.1 (CH</w:t>
      </w:r>
      <w:r w:rsidRPr="00980644">
        <w:rPr>
          <w:vertAlign w:val="subscript"/>
          <w:lang w:eastAsia="es-ES"/>
        </w:rPr>
        <w:t>3</w:t>
      </w:r>
      <w:r w:rsidRPr="00980644">
        <w:rPr>
          <w:lang w:eastAsia="es-ES"/>
        </w:rPr>
        <w:t>), 15.4 (CH</w:t>
      </w:r>
      <w:r w:rsidRPr="00980644">
        <w:rPr>
          <w:vertAlign w:val="subscript"/>
          <w:lang w:eastAsia="es-ES"/>
        </w:rPr>
        <w:t>3</w:t>
      </w:r>
      <w:r w:rsidRPr="00980644">
        <w:rPr>
          <w:lang w:eastAsia="es-ES"/>
        </w:rPr>
        <w:t>), 12.1 (CH</w:t>
      </w:r>
      <w:r w:rsidRPr="00980644">
        <w:rPr>
          <w:vertAlign w:val="subscript"/>
          <w:lang w:eastAsia="es-ES"/>
        </w:rPr>
        <w:t>3</w:t>
      </w:r>
      <w:r w:rsidRPr="00980644">
        <w:rPr>
          <w:lang w:eastAsia="es-ES"/>
        </w:rPr>
        <w:t xml:space="preserve">); </w:t>
      </w:r>
      <w:r w:rsidRPr="00980644">
        <w:rPr>
          <w:b/>
        </w:rPr>
        <w:t>HRMS (ESI)</w:t>
      </w:r>
      <w:r w:rsidRPr="00980644">
        <w:t xml:space="preserve"> </w:t>
      </w:r>
      <w:r w:rsidRPr="00980644">
        <w:rPr>
          <w:i/>
          <w:iCs/>
        </w:rPr>
        <w:t>m/z</w:t>
      </w:r>
      <w:r w:rsidRPr="00980644">
        <w:t>: calcd. for C</w:t>
      </w:r>
      <w:r w:rsidRPr="00980644">
        <w:rPr>
          <w:vertAlign w:val="subscript"/>
        </w:rPr>
        <w:t>16</w:t>
      </w:r>
      <w:r w:rsidRPr="00980644">
        <w:t>H</w:t>
      </w:r>
      <w:r w:rsidRPr="00980644">
        <w:rPr>
          <w:vertAlign w:val="subscript"/>
        </w:rPr>
        <w:t>17</w:t>
      </w:r>
      <w:r w:rsidRPr="00980644">
        <w:t>N</w:t>
      </w:r>
      <w:r w:rsidRPr="00980644">
        <w:rPr>
          <w:vertAlign w:val="subscript"/>
        </w:rPr>
        <w:t>2</w:t>
      </w:r>
      <w:r w:rsidRPr="00980644">
        <w:t>O</w:t>
      </w:r>
      <w:r w:rsidRPr="00980644">
        <w:rPr>
          <w:vertAlign w:val="subscript"/>
        </w:rPr>
        <w:t>2</w:t>
      </w:r>
      <w:r w:rsidR="00EE752F" w:rsidRPr="00980644">
        <w:t>Na</w:t>
      </w:r>
      <w:r w:rsidRPr="00980644">
        <w:t xml:space="preserve"> [M</w:t>
      </w:r>
      <w:r w:rsidR="00EE752F" w:rsidRPr="00980644">
        <w:t>+Na</w:t>
      </w:r>
      <w:r w:rsidRPr="00980644">
        <w:t>]</w:t>
      </w:r>
      <w:r w:rsidRPr="00980644">
        <w:rPr>
          <w:vertAlign w:val="superscript"/>
        </w:rPr>
        <w:t>+</w:t>
      </w:r>
      <w:r w:rsidRPr="00980644">
        <w:t xml:space="preserve"> </w:t>
      </w:r>
      <w:r w:rsidR="00EE752F" w:rsidRPr="00980644">
        <w:t>292.1188</w:t>
      </w:r>
      <w:r w:rsidRPr="00980644">
        <w:t xml:space="preserve">, found </w:t>
      </w:r>
      <w:r w:rsidR="00EE752F" w:rsidRPr="00980644">
        <w:t>292</w:t>
      </w:r>
      <w:r w:rsidR="00507032" w:rsidRPr="00980644">
        <w:t>.</w:t>
      </w:r>
      <w:r w:rsidR="00EE752F" w:rsidRPr="00980644">
        <w:t>1154</w:t>
      </w:r>
      <w:r w:rsidRPr="00980644">
        <w:t xml:space="preserve">; </w:t>
      </w:r>
      <w:r w:rsidRPr="00980644">
        <w:rPr>
          <w:b/>
        </w:rPr>
        <w:t>m.p.</w:t>
      </w:r>
      <w:r w:rsidRPr="00980644">
        <w:t xml:space="preserve"> 184-186 </w:t>
      </w:r>
      <w:r w:rsidRPr="00980644">
        <w:rPr>
          <w:vertAlign w:val="superscript"/>
        </w:rPr>
        <w:t>o</w:t>
      </w:r>
      <w:r w:rsidRPr="00980644">
        <w:t>C.</w:t>
      </w:r>
    </w:p>
    <w:p w14:paraId="1C20B4F1" w14:textId="77777777" w:rsidR="00676647" w:rsidRPr="00980644" w:rsidRDefault="00676647" w:rsidP="00676647">
      <w:pPr>
        <w:pStyle w:val="Ttulo3"/>
        <w:jc w:val="both"/>
        <w:rPr>
          <w:b/>
          <w:szCs w:val="24"/>
        </w:rPr>
      </w:pPr>
      <w:r w:rsidRPr="00980644">
        <w:rPr>
          <w:szCs w:val="24"/>
        </w:rPr>
        <w:t xml:space="preserve">Synthesis of </w:t>
      </w:r>
      <w:r w:rsidRPr="00980644">
        <w:rPr>
          <w:rFonts w:cs="Times New Roman"/>
          <w:bCs w:val="0"/>
          <w:szCs w:val="24"/>
          <w:lang w:eastAsia="es-ES"/>
        </w:rPr>
        <w:t>(Z)-2-((5-(furan-2-yl)-3-methoxy-1H-pyrrol-2-yl)methylene)-3,5-dimethyl-2H-pyrrol-1-ium chloride</w:t>
      </w:r>
      <w:r w:rsidRPr="00980644">
        <w:rPr>
          <w:rFonts w:cs="Times New Roman"/>
          <w:b/>
          <w:szCs w:val="24"/>
          <w:lang w:eastAsia="es-ES"/>
        </w:rPr>
        <w:t xml:space="preserve"> </w:t>
      </w:r>
      <w:r w:rsidRPr="00980644">
        <w:rPr>
          <w:szCs w:val="24"/>
        </w:rPr>
        <w:t>(</w:t>
      </w:r>
      <w:r w:rsidRPr="00980644">
        <w:rPr>
          <w:b/>
          <w:bCs w:val="0"/>
          <w:szCs w:val="24"/>
        </w:rPr>
        <w:t>2</w:t>
      </w:r>
      <w:r w:rsidRPr="00980644">
        <w:rPr>
          <w:bCs w:val="0"/>
          <w:szCs w:val="24"/>
        </w:rPr>
        <w:t>)</w:t>
      </w:r>
    </w:p>
    <w:p w14:paraId="2DCA5181" w14:textId="78A91110" w:rsidR="00BB2CDC" w:rsidRPr="00980644" w:rsidRDefault="00676647" w:rsidP="00BB2CDC">
      <w:pPr>
        <w:tabs>
          <w:tab w:val="left" w:pos="7513"/>
        </w:tabs>
        <w:spacing w:before="120" w:after="120"/>
        <w:jc w:val="both"/>
        <w:rPr>
          <w:lang w:eastAsia="es-ES"/>
        </w:rPr>
      </w:pPr>
      <w:r w:rsidRPr="00980644">
        <w:rPr>
          <w:lang w:eastAsia="es-ES"/>
        </w:rPr>
        <w:t xml:space="preserve">In a Schlenk flask a solution of aldehyde </w:t>
      </w:r>
      <w:r w:rsidRPr="00980644">
        <w:rPr>
          <w:b/>
          <w:bCs/>
          <w:lang w:eastAsia="es-ES"/>
        </w:rPr>
        <w:t>7</w:t>
      </w:r>
      <w:r w:rsidRPr="00980644">
        <w:rPr>
          <w:lang w:eastAsia="es-ES"/>
        </w:rPr>
        <w:t xml:space="preserve"> (0.30 g, 1.57 mmol, 1.0 equiv.) in degassed methanol (25 mL) w</w:t>
      </w:r>
      <w:r w:rsidR="00E544DB" w:rsidRPr="00980644">
        <w:rPr>
          <w:lang w:eastAsia="es-ES"/>
        </w:rPr>
        <w:t>as</w:t>
      </w:r>
      <w:r w:rsidRPr="00980644">
        <w:rPr>
          <w:lang w:eastAsia="es-ES"/>
        </w:rPr>
        <w:t xml:space="preserve"> deoxygenated with several vacuum/nitrogen cycles. Then, 2,4-dimethylpyrrole (0.32 mL, 3.14 mmol, 2.0 equiv.) was added to the system with a syringe through </w:t>
      </w:r>
      <w:r w:rsidR="00851EFE" w:rsidRPr="00980644">
        <w:rPr>
          <w:lang w:eastAsia="es-ES"/>
        </w:rPr>
        <w:t xml:space="preserve">a </w:t>
      </w:r>
      <w:r w:rsidRPr="00980644">
        <w:rPr>
          <w:lang w:eastAsia="es-ES"/>
        </w:rPr>
        <w:t>septum and, subsequently, HCl in methanol (0.5 M, 6.3</w:t>
      </w:r>
      <w:r w:rsidR="00353B38" w:rsidRPr="00980644">
        <w:rPr>
          <w:lang w:eastAsia="es-ES"/>
        </w:rPr>
        <w:t>0</w:t>
      </w:r>
      <w:r w:rsidRPr="00980644">
        <w:rPr>
          <w:lang w:eastAsia="es-ES"/>
        </w:rPr>
        <w:t xml:space="preserve"> mL, 3.14 mmol, 2.0 equiv.) was added to the mixture</w:t>
      </w:r>
      <w:r w:rsidR="00865001" w:rsidRPr="00980644">
        <w:rPr>
          <w:lang w:eastAsia="es-ES"/>
        </w:rPr>
        <w:t xml:space="preserve"> dropwise</w:t>
      </w:r>
      <w:r w:rsidRPr="00980644">
        <w:rPr>
          <w:lang w:eastAsia="es-ES"/>
        </w:rPr>
        <w:t xml:space="preserve">. The resulting orange solution was stirred under nitrogen at room temperature for 16 hours. After this time, methanol was removed by rotary evaporation and the crude was recrystallized in a mixture of dichloromethane </w:t>
      </w:r>
      <w:r w:rsidRPr="00980644">
        <w:rPr>
          <w:lang w:eastAsia="es-ES"/>
        </w:rPr>
        <w:lastRenderedPageBreak/>
        <w:t xml:space="preserve">and hexane (1:1, </w:t>
      </w:r>
      <w:r w:rsidRPr="00980644">
        <w:rPr>
          <w:i/>
          <w:lang w:eastAsia="es-ES"/>
        </w:rPr>
        <w:t>v/v</w:t>
      </w:r>
      <w:r w:rsidRPr="00980644">
        <w:rPr>
          <w:lang w:eastAsia="es-ES"/>
        </w:rPr>
        <w:t xml:space="preserve">). The resulting crystalline purple solid was filtrated </w:t>
      </w:r>
      <w:r w:rsidRPr="00980644">
        <w:rPr>
          <w:i/>
          <w:lang w:eastAsia="es-ES"/>
        </w:rPr>
        <w:t xml:space="preserve">in vacuo </w:t>
      </w:r>
      <w:r w:rsidRPr="00980644">
        <w:rPr>
          <w:lang w:eastAsia="es-ES"/>
        </w:rPr>
        <w:t xml:space="preserve">and washed with hexane to afford the prodiginine-like product </w:t>
      </w:r>
      <w:r w:rsidR="00E544DB" w:rsidRPr="00980644">
        <w:rPr>
          <w:b/>
          <w:bCs/>
          <w:lang w:eastAsia="es-ES"/>
        </w:rPr>
        <w:t>2</w:t>
      </w:r>
      <w:r w:rsidRPr="00980644">
        <w:rPr>
          <w:lang w:eastAsia="es-ES"/>
        </w:rPr>
        <w:t xml:space="preserve"> as a dark purple solid (0.34 g, 70%).</w:t>
      </w:r>
      <w:r w:rsidR="00BB2CDC" w:rsidRPr="00980644">
        <w:rPr>
          <w:lang w:eastAsia="es-ES"/>
        </w:rPr>
        <w:t xml:space="preserve"> </w:t>
      </w:r>
      <w:r w:rsidR="00BB2CDC" w:rsidRPr="00980644">
        <w:rPr>
          <w:b/>
          <w:vertAlign w:val="superscript"/>
          <w:lang w:eastAsia="es-ES"/>
        </w:rPr>
        <w:t>1</w:t>
      </w:r>
      <w:r w:rsidR="00BB2CDC" w:rsidRPr="00980644">
        <w:rPr>
          <w:b/>
          <w:lang w:eastAsia="es-ES"/>
        </w:rPr>
        <w:t>H NMR</w:t>
      </w:r>
      <w:r w:rsidR="00BB2CDC" w:rsidRPr="00980644">
        <w:rPr>
          <w:lang w:eastAsia="es-ES"/>
        </w:rPr>
        <w:t xml:space="preserve"> (400 MHz, CDCl</w:t>
      </w:r>
      <w:r w:rsidR="00BB2CDC" w:rsidRPr="00980644">
        <w:rPr>
          <w:vertAlign w:val="subscript"/>
          <w:lang w:eastAsia="es-ES"/>
        </w:rPr>
        <w:t>3</w:t>
      </w:r>
      <w:r w:rsidR="00BB2CDC" w:rsidRPr="00980644">
        <w:rPr>
          <w:lang w:eastAsia="es-ES"/>
        </w:rPr>
        <w:t xml:space="preserve">) δ (ppm) </w:t>
      </w:r>
      <w:r w:rsidR="00BB2CDC" w:rsidRPr="00980644">
        <w:t xml:space="preserve">13.78 (1H, br s), 13.23 (1H, br s), 8.41 (1H, d, </w:t>
      </w:r>
      <w:r w:rsidR="00BB2CDC" w:rsidRPr="00980644">
        <w:rPr>
          <w:i/>
        </w:rPr>
        <w:t>J</w:t>
      </w:r>
      <w:r w:rsidR="00BB2CDC" w:rsidRPr="00980644">
        <w:t xml:space="preserve"> = 3.6 Hz), 7.55 (1H, d, </w:t>
      </w:r>
      <w:r w:rsidR="00BB2CDC" w:rsidRPr="00980644">
        <w:rPr>
          <w:i/>
        </w:rPr>
        <w:t>J</w:t>
      </w:r>
      <w:r w:rsidR="00BB2CDC" w:rsidRPr="00980644">
        <w:t xml:space="preserve"> = 1.4 Hz), 7.15 (1H, s), 6.60 (1H, dd, </w:t>
      </w:r>
      <w:r w:rsidR="00BB2CDC" w:rsidRPr="00980644">
        <w:rPr>
          <w:i/>
        </w:rPr>
        <w:t>J</w:t>
      </w:r>
      <w:r w:rsidR="00BB2CDC" w:rsidRPr="00980644">
        <w:t xml:space="preserve"> = 3.7, 1.7 Hz), 6.24 (1H, d, </w:t>
      </w:r>
      <w:r w:rsidR="00BB2CDC" w:rsidRPr="00980644">
        <w:rPr>
          <w:i/>
        </w:rPr>
        <w:t>J</w:t>
      </w:r>
      <w:r w:rsidR="00BB2CDC" w:rsidRPr="00980644">
        <w:t xml:space="preserve"> = 1.9 Hz), 6.07 (1H, s), 3.99 (3H, s), 2.59 (3H, s), 2.29 (3H, s); </w:t>
      </w:r>
      <w:r w:rsidR="00BB2CDC" w:rsidRPr="00980644">
        <w:rPr>
          <w:b/>
          <w:vertAlign w:val="superscript"/>
          <w:lang w:eastAsia="es-ES"/>
        </w:rPr>
        <w:t>13</w:t>
      </w:r>
      <w:r w:rsidR="00BB2CDC" w:rsidRPr="00980644">
        <w:rPr>
          <w:b/>
          <w:lang w:eastAsia="es-ES"/>
        </w:rPr>
        <w:t>C NMR</w:t>
      </w:r>
      <w:r w:rsidR="00BB2CDC" w:rsidRPr="00980644">
        <w:rPr>
          <w:lang w:eastAsia="es-ES"/>
        </w:rPr>
        <w:t xml:space="preserve"> (100 MHz, CDCl</w:t>
      </w:r>
      <w:r w:rsidR="00BB2CDC" w:rsidRPr="00980644">
        <w:rPr>
          <w:vertAlign w:val="subscript"/>
          <w:lang w:eastAsia="es-ES"/>
        </w:rPr>
        <w:t>3</w:t>
      </w:r>
      <w:r w:rsidR="00BB2CDC" w:rsidRPr="00980644">
        <w:rPr>
          <w:lang w:eastAsia="es-ES"/>
        </w:rPr>
        <w:t xml:space="preserve">) δ (ppm) </w:t>
      </w:r>
      <w:r w:rsidR="00BB2CDC" w:rsidRPr="00980644">
        <w:t>165.3 (Cq), 152.9 (Cq), 145.7 (CH), 145.2 (Cq), 144.0 (Cq), 143.8 (Cq), 126.4 (Cq), 119.5 (Cq), 117.5 (CH), 116.7 (CH), 116.3 (CH), 113.8 (CH), 93.3 (CH), 58.9 (CH</w:t>
      </w:r>
      <w:r w:rsidR="00BB2CDC" w:rsidRPr="00980644">
        <w:rPr>
          <w:vertAlign w:val="subscript"/>
        </w:rPr>
        <w:t>3</w:t>
      </w:r>
      <w:r w:rsidR="00BB2CDC" w:rsidRPr="00980644">
        <w:t>), 14.4 (CH</w:t>
      </w:r>
      <w:r w:rsidR="00BB2CDC" w:rsidRPr="00980644">
        <w:rPr>
          <w:vertAlign w:val="subscript"/>
        </w:rPr>
        <w:t>3</w:t>
      </w:r>
      <w:r w:rsidR="00BB2CDC" w:rsidRPr="00980644">
        <w:t>), 12.1 (CH</w:t>
      </w:r>
      <w:r w:rsidR="00BB2CDC" w:rsidRPr="00980644">
        <w:rPr>
          <w:vertAlign w:val="subscript"/>
        </w:rPr>
        <w:t>3</w:t>
      </w:r>
      <w:r w:rsidR="00BB2CDC" w:rsidRPr="00980644">
        <w:t>);</w:t>
      </w:r>
      <w:r w:rsidR="00BB2CDC" w:rsidRPr="00980644">
        <w:rPr>
          <w:b/>
        </w:rPr>
        <w:t xml:space="preserve"> HRMS (ESI)</w:t>
      </w:r>
      <w:r w:rsidR="00BB2CDC" w:rsidRPr="00980644">
        <w:t xml:space="preserve"> </w:t>
      </w:r>
      <w:r w:rsidR="00BB2CDC" w:rsidRPr="00980644">
        <w:rPr>
          <w:i/>
          <w:iCs/>
        </w:rPr>
        <w:t>m/z</w:t>
      </w:r>
      <w:r w:rsidR="00BB2CDC" w:rsidRPr="00980644">
        <w:t>: calcd. for C</w:t>
      </w:r>
      <w:r w:rsidR="00BB2CDC" w:rsidRPr="00980644">
        <w:rPr>
          <w:vertAlign w:val="subscript"/>
        </w:rPr>
        <w:t>16</w:t>
      </w:r>
      <w:r w:rsidR="00BB2CDC" w:rsidRPr="00980644">
        <w:t>H</w:t>
      </w:r>
      <w:r w:rsidR="00BB2CDC" w:rsidRPr="00980644">
        <w:rPr>
          <w:vertAlign w:val="subscript"/>
        </w:rPr>
        <w:t>1</w:t>
      </w:r>
      <w:r w:rsidR="00CA0885" w:rsidRPr="00980644">
        <w:rPr>
          <w:vertAlign w:val="subscript"/>
        </w:rPr>
        <w:t>8</w:t>
      </w:r>
      <w:r w:rsidR="00BB2CDC" w:rsidRPr="00980644">
        <w:t>N</w:t>
      </w:r>
      <w:r w:rsidR="00BB2CDC" w:rsidRPr="00980644">
        <w:rPr>
          <w:vertAlign w:val="subscript"/>
        </w:rPr>
        <w:t>2</w:t>
      </w:r>
      <w:r w:rsidR="00BB2CDC" w:rsidRPr="00980644">
        <w:t>O</w:t>
      </w:r>
      <w:r w:rsidR="00BB2CDC" w:rsidRPr="00980644">
        <w:rPr>
          <w:vertAlign w:val="subscript"/>
        </w:rPr>
        <w:t>2</w:t>
      </w:r>
      <w:r w:rsidR="00BB2CDC" w:rsidRPr="00980644">
        <w:t xml:space="preserve"> [M</w:t>
      </w:r>
      <w:r w:rsidR="00CA0885" w:rsidRPr="00980644">
        <w:t>+H</w:t>
      </w:r>
      <w:r w:rsidR="00BB2CDC" w:rsidRPr="00980644">
        <w:t>]</w:t>
      </w:r>
      <w:r w:rsidR="00BB2CDC" w:rsidRPr="00980644">
        <w:rPr>
          <w:vertAlign w:val="superscript"/>
        </w:rPr>
        <w:t>+</w:t>
      </w:r>
      <w:r w:rsidR="00BB2CDC" w:rsidRPr="00980644">
        <w:t xml:space="preserve"> </w:t>
      </w:r>
      <w:r w:rsidR="00CA0885" w:rsidRPr="00980644">
        <w:t>270.1368</w:t>
      </w:r>
      <w:r w:rsidR="00BB2CDC" w:rsidRPr="00980644">
        <w:t xml:space="preserve">, found </w:t>
      </w:r>
      <w:r w:rsidR="00486932" w:rsidRPr="00980644">
        <w:t>270.1320</w:t>
      </w:r>
      <w:r w:rsidR="00BB2CDC" w:rsidRPr="00980644">
        <w:t xml:space="preserve">; </w:t>
      </w:r>
      <w:r w:rsidR="00BB2CDC" w:rsidRPr="00980644">
        <w:rPr>
          <w:b/>
        </w:rPr>
        <w:t>m.p.</w:t>
      </w:r>
      <w:r w:rsidR="00BB2CDC" w:rsidRPr="00980644">
        <w:t xml:space="preserve"> 180-182 </w:t>
      </w:r>
      <w:r w:rsidR="00BB2CDC" w:rsidRPr="00980644">
        <w:rPr>
          <w:vertAlign w:val="superscript"/>
        </w:rPr>
        <w:t>o</w:t>
      </w:r>
      <w:r w:rsidR="00BB2CDC" w:rsidRPr="00980644">
        <w:t>C (dec).</w:t>
      </w:r>
    </w:p>
    <w:p w14:paraId="45A58513" w14:textId="77777777" w:rsidR="00676647" w:rsidRPr="00980644" w:rsidRDefault="00676647" w:rsidP="00676647">
      <w:pPr>
        <w:pStyle w:val="Ttulo3"/>
        <w:jc w:val="both"/>
        <w:rPr>
          <w:szCs w:val="24"/>
        </w:rPr>
      </w:pPr>
      <w:r w:rsidRPr="00980644">
        <w:rPr>
          <w:szCs w:val="24"/>
        </w:rPr>
        <w:t xml:space="preserve">Synthesis of </w:t>
      </w:r>
      <w:r w:rsidRPr="00980644">
        <w:rPr>
          <w:bCs w:val="0"/>
          <w:szCs w:val="24"/>
        </w:rPr>
        <w:t>(E)-N-((3-Methoxy-5-(1H-pyrrol-2-yl)furan-2-yl)methylene)cyclohexanaminium chloride (</w:t>
      </w:r>
      <w:r w:rsidRPr="00980644">
        <w:rPr>
          <w:b/>
          <w:szCs w:val="24"/>
        </w:rPr>
        <w:t>3</w:t>
      </w:r>
      <w:r w:rsidRPr="00980644">
        <w:rPr>
          <w:bCs w:val="0"/>
          <w:szCs w:val="24"/>
        </w:rPr>
        <w:t>)</w:t>
      </w:r>
    </w:p>
    <w:p w14:paraId="79EF011E" w14:textId="4F5A98A0" w:rsidR="00676647" w:rsidRPr="00980644" w:rsidRDefault="00676647" w:rsidP="00676647">
      <w:pPr>
        <w:tabs>
          <w:tab w:val="left" w:pos="7513"/>
        </w:tabs>
        <w:spacing w:before="120" w:after="120"/>
        <w:jc w:val="both"/>
      </w:pPr>
      <w:r w:rsidRPr="00980644">
        <w:t>In a round</w:t>
      </w:r>
      <w:r w:rsidR="00B27794" w:rsidRPr="00980644">
        <w:t>-</w:t>
      </w:r>
      <w:r w:rsidRPr="00980644">
        <w:t>bottom flask, cyclohexylamine (178 μL, 1.60 mmol, 2.0</w:t>
      </w:r>
      <w:r w:rsidR="00353B38" w:rsidRPr="00980644">
        <w:t xml:space="preserve"> </w:t>
      </w:r>
      <w:r w:rsidRPr="00980644">
        <w:t xml:space="preserve">equiv.) was added to a solution of </w:t>
      </w:r>
      <w:r w:rsidRPr="00980644">
        <w:rPr>
          <w:iCs/>
        </w:rPr>
        <w:t xml:space="preserve">aldehyde </w:t>
      </w:r>
      <w:r w:rsidRPr="00980644">
        <w:rPr>
          <w:b/>
          <w:bCs/>
          <w:iCs/>
        </w:rPr>
        <w:t>4</w:t>
      </w:r>
      <w:r w:rsidRPr="00980644">
        <w:rPr>
          <w:iCs/>
        </w:rPr>
        <w:t xml:space="preserve"> </w:t>
      </w:r>
      <w:r w:rsidRPr="00980644">
        <w:t xml:space="preserve">(0.15 g, 0.80 mmol, 1.0 equiv.) in chloroform (15 mL). Then, acetic acid (100 µL) was added and the reaction mixture was stirred at 65 </w:t>
      </w:r>
      <w:r w:rsidRPr="00980644">
        <w:rPr>
          <w:bCs/>
          <w:vertAlign w:val="superscript"/>
        </w:rPr>
        <w:t>o</w:t>
      </w:r>
      <w:r w:rsidRPr="00980644">
        <w:rPr>
          <w:bCs/>
        </w:rPr>
        <w:t>C</w:t>
      </w:r>
      <w:r w:rsidRPr="00980644">
        <w:t xml:space="preserve"> until the starting material was consumed. Once the reaction had finished, the solvent was evaporated under reduced pressure and the crude was washed with </w:t>
      </w:r>
      <w:r w:rsidR="00E544DB" w:rsidRPr="00980644">
        <w:t xml:space="preserve">1 M </w:t>
      </w:r>
      <w:r w:rsidRPr="00980644">
        <w:t xml:space="preserve">HCl. The organic fractions were </w:t>
      </w:r>
      <w:r w:rsidR="00E544DB" w:rsidRPr="00980644">
        <w:t>combined</w:t>
      </w:r>
      <w:r w:rsidRPr="00980644">
        <w:t xml:space="preserve"> and dried over</w:t>
      </w:r>
      <w:r w:rsidR="00C43871" w:rsidRPr="00980644">
        <w:t xml:space="preserve"> anhydrous</w:t>
      </w:r>
      <w:r w:rsidRPr="00980644">
        <w:t xml:space="preserve"> Na</w:t>
      </w:r>
      <w:r w:rsidRPr="00980644">
        <w:rPr>
          <w:vertAlign w:val="subscript"/>
        </w:rPr>
        <w:t>2</w:t>
      </w:r>
      <w:r w:rsidRPr="00980644">
        <w:t>SO</w:t>
      </w:r>
      <w:r w:rsidRPr="00980644">
        <w:rPr>
          <w:vertAlign w:val="subscript"/>
        </w:rPr>
        <w:t>4</w:t>
      </w:r>
      <w:r w:rsidRPr="00980644">
        <w:t xml:space="preserve">. After evaporating to dryness, tambjamine </w:t>
      </w:r>
      <w:r w:rsidRPr="00980644">
        <w:rPr>
          <w:b/>
        </w:rPr>
        <w:t>3</w:t>
      </w:r>
      <w:r w:rsidRPr="00980644">
        <w:t xml:space="preserve"> was isolated as a black solid (0.20 g, 82%). </w:t>
      </w:r>
      <w:r w:rsidRPr="00980644">
        <w:rPr>
          <w:rFonts w:cs="Arial"/>
          <w:b/>
          <w:vertAlign w:val="superscript"/>
        </w:rPr>
        <w:t>1</w:t>
      </w:r>
      <w:r w:rsidRPr="00980644">
        <w:rPr>
          <w:rFonts w:cs="Arial"/>
          <w:b/>
        </w:rPr>
        <w:t>H NMR</w:t>
      </w:r>
      <w:r w:rsidRPr="00980644">
        <w:rPr>
          <w:rFonts w:cs="Arial"/>
        </w:rPr>
        <w:t xml:space="preserve"> (300 MHz, CDCl</w:t>
      </w:r>
      <w:r w:rsidRPr="00980644">
        <w:rPr>
          <w:rFonts w:cs="Arial"/>
          <w:vertAlign w:val="subscript"/>
        </w:rPr>
        <w:t>3</w:t>
      </w:r>
      <w:r w:rsidRPr="00980644">
        <w:rPr>
          <w:rFonts w:cs="Arial"/>
        </w:rPr>
        <w:t xml:space="preserve">) δ (ppm) 12.41 (1H, br s), 11.58 (1H, br s), 7.49 (1H, d, </w:t>
      </w:r>
      <w:r w:rsidRPr="00980644">
        <w:rPr>
          <w:rFonts w:cs="Arial"/>
          <w:i/>
          <w:iCs/>
        </w:rPr>
        <w:t>J</w:t>
      </w:r>
      <w:r w:rsidRPr="00980644">
        <w:rPr>
          <w:rFonts w:cs="Arial"/>
        </w:rPr>
        <w:t xml:space="preserve"> = 14.7 Hz), 7.20-7.12 (1H, m), 6.82-6.75 (1H, m), 6.35-6.30 (1H, m), 6.27-6.20 (1H, m), 4.00 (3H, s), 3.57-3.34 (1H, m), 2.09-2.00 (2H, m), </w:t>
      </w:r>
      <w:r w:rsidR="00946967" w:rsidRPr="00980644">
        <w:rPr>
          <w:rFonts w:cs="Arial"/>
        </w:rPr>
        <w:t>2.20</w:t>
      </w:r>
      <w:r w:rsidRPr="00980644">
        <w:rPr>
          <w:rFonts w:cs="Arial"/>
        </w:rPr>
        <w:t>-1.</w:t>
      </w:r>
      <w:r w:rsidR="00946967" w:rsidRPr="00980644">
        <w:rPr>
          <w:rFonts w:cs="Arial"/>
        </w:rPr>
        <w:t>54</w:t>
      </w:r>
      <w:r w:rsidRPr="00980644">
        <w:rPr>
          <w:rFonts w:cs="Arial"/>
        </w:rPr>
        <w:t xml:space="preserve"> (7H, m), 1.35-1.15 (5H, m); </w:t>
      </w:r>
      <w:r w:rsidRPr="00980644">
        <w:rPr>
          <w:b/>
          <w:vertAlign w:val="superscript"/>
        </w:rPr>
        <w:t>13</w:t>
      </w:r>
      <w:r w:rsidRPr="00980644">
        <w:rPr>
          <w:b/>
        </w:rPr>
        <w:t>C NMR</w:t>
      </w:r>
      <w:r w:rsidRPr="00980644">
        <w:t xml:space="preserve"> (75 MHz, CDCl</w:t>
      </w:r>
      <w:r w:rsidRPr="00980644">
        <w:rPr>
          <w:vertAlign w:val="subscript"/>
        </w:rPr>
        <w:t>3</w:t>
      </w:r>
      <w:r w:rsidRPr="00980644">
        <w:t>) δ (ppm) 166.5 (Cq), 160.2 (Cq), 137.7 (CH), 127.9 (Cq), 126.6 (CH), 121.2 (Cq), 114.5 (CH), 111.6 (CH), 93.0 (CH), 60.7 (CH</w:t>
      </w:r>
      <w:r w:rsidRPr="00980644">
        <w:rPr>
          <w:vertAlign w:val="subscript"/>
        </w:rPr>
        <w:t>3</w:t>
      </w:r>
      <w:r w:rsidRPr="00980644">
        <w:t>), 59.8 (CH), 32.9 (CH</w:t>
      </w:r>
      <w:r w:rsidRPr="00980644">
        <w:rPr>
          <w:vertAlign w:val="subscript"/>
        </w:rPr>
        <w:t>2</w:t>
      </w:r>
      <w:r w:rsidRPr="00980644">
        <w:t>), 24.9 (CH</w:t>
      </w:r>
      <w:r w:rsidRPr="00980644">
        <w:rPr>
          <w:vertAlign w:val="subscript"/>
        </w:rPr>
        <w:t>2</w:t>
      </w:r>
      <w:r w:rsidRPr="00980644">
        <w:t>), 24.7 (CH</w:t>
      </w:r>
      <w:r w:rsidRPr="00980644">
        <w:rPr>
          <w:vertAlign w:val="subscript"/>
        </w:rPr>
        <w:t>2</w:t>
      </w:r>
      <w:r w:rsidRPr="00980644">
        <w:t xml:space="preserve">); </w:t>
      </w:r>
      <w:bookmarkStart w:id="3" w:name="OLE_LINK1"/>
      <w:bookmarkStart w:id="4" w:name="OLE_LINK2"/>
      <w:r w:rsidRPr="00980644">
        <w:rPr>
          <w:b/>
        </w:rPr>
        <w:t xml:space="preserve">HRMS (ESI) </w:t>
      </w:r>
      <w:r w:rsidRPr="00980644">
        <w:rPr>
          <w:bCs/>
          <w:i/>
          <w:iCs/>
        </w:rPr>
        <w:t>m/z</w:t>
      </w:r>
      <w:r w:rsidRPr="00980644">
        <w:rPr>
          <w:bCs/>
        </w:rPr>
        <w:t>:</w:t>
      </w:r>
      <w:r w:rsidRPr="00980644">
        <w:t xml:space="preserve"> calcd. for C</w:t>
      </w:r>
      <w:r w:rsidRPr="00980644">
        <w:rPr>
          <w:vertAlign w:val="subscript"/>
        </w:rPr>
        <w:t>16</w:t>
      </w:r>
      <w:r w:rsidRPr="00980644">
        <w:t>H</w:t>
      </w:r>
      <w:r w:rsidRPr="00980644">
        <w:rPr>
          <w:vertAlign w:val="subscript"/>
        </w:rPr>
        <w:t>21</w:t>
      </w:r>
      <w:r w:rsidRPr="00980644">
        <w:t>N</w:t>
      </w:r>
      <w:r w:rsidRPr="00980644">
        <w:rPr>
          <w:vertAlign w:val="subscript"/>
        </w:rPr>
        <w:t>2</w:t>
      </w:r>
      <w:r w:rsidRPr="00980644">
        <w:t>O</w:t>
      </w:r>
      <w:r w:rsidRPr="00980644">
        <w:rPr>
          <w:vertAlign w:val="subscript"/>
        </w:rPr>
        <w:t>2</w:t>
      </w:r>
      <w:r w:rsidRPr="00980644">
        <w:t xml:space="preserve"> [M]</w:t>
      </w:r>
      <w:r w:rsidRPr="00980644">
        <w:rPr>
          <w:vertAlign w:val="superscript"/>
        </w:rPr>
        <w:t>+·</w:t>
      </w:r>
      <w:r w:rsidRPr="00980644">
        <w:t xml:space="preserve"> 273.1598, found 273.1596; </w:t>
      </w:r>
      <w:r w:rsidRPr="00980644">
        <w:rPr>
          <w:b/>
        </w:rPr>
        <w:t>m.p.</w:t>
      </w:r>
      <w:r w:rsidRPr="00980644">
        <w:t xml:space="preserve"> 87-89 </w:t>
      </w:r>
      <w:r w:rsidRPr="00980644">
        <w:rPr>
          <w:vertAlign w:val="superscript"/>
        </w:rPr>
        <w:t>o</w:t>
      </w:r>
      <w:r w:rsidRPr="00980644">
        <w:t>C.</w:t>
      </w:r>
      <w:bookmarkEnd w:id="3"/>
      <w:bookmarkEnd w:id="4"/>
    </w:p>
    <w:p w14:paraId="610AC638" w14:textId="77777777" w:rsidR="00B009AC" w:rsidRPr="00980644" w:rsidRDefault="00B009AC" w:rsidP="00B009AC">
      <w:pPr>
        <w:pStyle w:val="Ttulo3"/>
        <w:rPr>
          <w:b/>
          <w:iCs/>
          <w:szCs w:val="24"/>
        </w:rPr>
      </w:pPr>
      <w:r w:rsidRPr="00980644">
        <w:rPr>
          <w:szCs w:val="24"/>
        </w:rPr>
        <w:lastRenderedPageBreak/>
        <w:t xml:space="preserve">Synthesis of </w:t>
      </w:r>
      <w:r w:rsidRPr="00980644">
        <w:rPr>
          <w:iCs/>
          <w:szCs w:val="24"/>
        </w:rPr>
        <w:t>3-methoxy-5-(1H-pyrrol-2-yl)-furan-2-carbaldehyde (</w:t>
      </w:r>
      <w:r w:rsidRPr="00980644">
        <w:rPr>
          <w:b/>
          <w:bCs w:val="0"/>
          <w:iCs/>
          <w:szCs w:val="24"/>
        </w:rPr>
        <w:t>4</w:t>
      </w:r>
      <w:r w:rsidRPr="00980644">
        <w:rPr>
          <w:iCs/>
          <w:szCs w:val="24"/>
        </w:rPr>
        <w:t>)</w:t>
      </w:r>
    </w:p>
    <w:p w14:paraId="756348F4" w14:textId="7DAE7B42" w:rsidR="00B009AC" w:rsidRPr="00980644" w:rsidRDefault="00C11891" w:rsidP="00B009AC">
      <w:pPr>
        <w:tabs>
          <w:tab w:val="left" w:pos="7513"/>
        </w:tabs>
        <w:spacing w:before="120" w:after="120"/>
        <w:jc w:val="both"/>
      </w:pPr>
      <w:r w:rsidRPr="00980644">
        <w:t>Intermediate</w:t>
      </w:r>
      <w:r w:rsidR="00B009AC" w:rsidRPr="00980644">
        <w:t xml:space="preserve"> </w:t>
      </w:r>
      <w:r w:rsidR="00B009AC" w:rsidRPr="00980644">
        <w:rPr>
          <w:b/>
          <w:bCs/>
        </w:rPr>
        <w:t>5</w:t>
      </w:r>
      <w:r w:rsidR="00B009AC" w:rsidRPr="00980644">
        <w:t xml:space="preserve"> (1.25 g, 4.2</w:t>
      </w:r>
      <w:r w:rsidR="00353B38" w:rsidRPr="00980644">
        <w:t>0</w:t>
      </w:r>
      <w:r w:rsidR="00B009AC" w:rsidRPr="00980644">
        <w:t xml:space="preserve"> mmol, 1.0 equiv.) was dissolved in tetrahydrofuran (6 mL) and a suspension of lithium hydroxide (1.03 g, 42.0 mmol, 10.0 equiv.) in methanol (6</w:t>
      </w:r>
      <w:r w:rsidR="00353B38" w:rsidRPr="00980644">
        <w:t xml:space="preserve"> </w:t>
      </w:r>
      <w:r w:rsidR="00B009AC" w:rsidRPr="00980644">
        <w:t>mL) was added dropwise under nitrogen. The mixture was stirred at room temperature for one hour. After this time, the solvent was removed and the resulting solid was re-dissolved in chloroform and</w:t>
      </w:r>
      <w:r w:rsidR="00865001" w:rsidRPr="00980644">
        <w:t xml:space="preserve"> this solution</w:t>
      </w:r>
      <w:r w:rsidR="00B009AC" w:rsidRPr="00980644">
        <w:t xml:space="preserve"> washed with water. The organic phase was dried over</w:t>
      </w:r>
      <w:r w:rsidR="00C43871" w:rsidRPr="00980644">
        <w:t xml:space="preserve"> anhydrous</w:t>
      </w:r>
      <w:r w:rsidR="00B009AC" w:rsidRPr="00980644">
        <w:t xml:space="preserve"> Na</w:t>
      </w:r>
      <w:r w:rsidR="00B009AC" w:rsidRPr="00980644">
        <w:rPr>
          <w:vertAlign w:val="subscript"/>
        </w:rPr>
        <w:t>2</w:t>
      </w:r>
      <w:r w:rsidR="00B009AC" w:rsidRPr="00980644">
        <w:t>SO</w:t>
      </w:r>
      <w:r w:rsidR="00B009AC" w:rsidRPr="00980644">
        <w:rPr>
          <w:vertAlign w:val="subscript"/>
        </w:rPr>
        <w:t>4</w:t>
      </w:r>
      <w:r w:rsidR="00B009AC" w:rsidRPr="00980644">
        <w:t xml:space="preserve"> and concentrated to dryness. The residue was purified by column chromatography in silica gel using a mixture of hexane and ethyl acetate (1:1, </w:t>
      </w:r>
      <w:r w:rsidR="00B009AC" w:rsidRPr="00980644">
        <w:rPr>
          <w:i/>
        </w:rPr>
        <w:t>v/v</w:t>
      </w:r>
      <w:r w:rsidR="00B009AC" w:rsidRPr="00980644">
        <w:t xml:space="preserve">) as eluent to afford </w:t>
      </w:r>
      <w:r w:rsidR="00B009AC" w:rsidRPr="00980644">
        <w:rPr>
          <w:b/>
          <w:bCs/>
        </w:rPr>
        <w:t>4</w:t>
      </w:r>
      <w:r w:rsidR="00B009AC" w:rsidRPr="00980644">
        <w:t xml:space="preserve"> as a dark green solid (0.65 g, 80%). </w:t>
      </w:r>
      <w:r w:rsidR="00B009AC" w:rsidRPr="00980644">
        <w:rPr>
          <w:b/>
          <w:vertAlign w:val="superscript"/>
        </w:rPr>
        <w:t>1</w:t>
      </w:r>
      <w:r w:rsidR="00B009AC" w:rsidRPr="00980644">
        <w:rPr>
          <w:b/>
        </w:rPr>
        <w:t xml:space="preserve">H NMR </w:t>
      </w:r>
      <w:r w:rsidR="00B009AC" w:rsidRPr="00980644">
        <w:t>(300 MHz, CDCl</w:t>
      </w:r>
      <w:r w:rsidR="00B009AC" w:rsidRPr="00980644">
        <w:rPr>
          <w:vertAlign w:val="subscript"/>
        </w:rPr>
        <w:t>3</w:t>
      </w:r>
      <w:r w:rsidR="00B009AC" w:rsidRPr="00980644">
        <w:t xml:space="preserve">) δ (ppm) 9.44 (1H, s), 6.93 (1H, br s), 6.69 (1H, br s), 6.33 (1H, s), 6.30 (1H, br s), 3.96 (3H, s); </w:t>
      </w:r>
      <w:r w:rsidR="00B009AC" w:rsidRPr="00980644">
        <w:rPr>
          <w:b/>
          <w:vertAlign w:val="superscript"/>
        </w:rPr>
        <w:t>13</w:t>
      </w:r>
      <w:r w:rsidR="00B009AC" w:rsidRPr="00980644">
        <w:rPr>
          <w:b/>
        </w:rPr>
        <w:t>C NMR</w:t>
      </w:r>
      <w:r w:rsidR="00B009AC" w:rsidRPr="00980644">
        <w:t xml:space="preserve"> (75 MHz, CDCl</w:t>
      </w:r>
      <w:r w:rsidR="00B009AC" w:rsidRPr="00980644">
        <w:rPr>
          <w:vertAlign w:val="subscript"/>
        </w:rPr>
        <w:t>3</w:t>
      </w:r>
      <w:r w:rsidR="00B009AC" w:rsidRPr="00980644">
        <w:t>) δ (ppm) 171.3 (CH), 162.4 (Cq), 153.9 (Cq), 135.6 (Cq), 122.1 (CH), 121.9 (Cq), 110.9 (CH), 110.9 (CH), 93.6 (CH), 59.1 (CH</w:t>
      </w:r>
      <w:r w:rsidR="00B009AC" w:rsidRPr="00980644">
        <w:rPr>
          <w:vertAlign w:val="subscript"/>
        </w:rPr>
        <w:t>3</w:t>
      </w:r>
      <w:r w:rsidR="00B009AC" w:rsidRPr="00980644">
        <w:t xml:space="preserve">); </w:t>
      </w:r>
      <w:r w:rsidR="00B009AC" w:rsidRPr="00980644">
        <w:rPr>
          <w:b/>
        </w:rPr>
        <w:t>HRMS (ESI)</w:t>
      </w:r>
      <w:r w:rsidR="00B009AC" w:rsidRPr="00980644">
        <w:t xml:space="preserve"> </w:t>
      </w:r>
      <w:r w:rsidR="00B009AC" w:rsidRPr="00980644">
        <w:rPr>
          <w:i/>
          <w:iCs/>
        </w:rPr>
        <w:t>m/z</w:t>
      </w:r>
      <w:r w:rsidR="00B009AC" w:rsidRPr="00980644">
        <w:t>: calcd. for C</w:t>
      </w:r>
      <w:r w:rsidR="00B009AC" w:rsidRPr="00980644">
        <w:rPr>
          <w:vertAlign w:val="subscript"/>
        </w:rPr>
        <w:t>10</w:t>
      </w:r>
      <w:r w:rsidR="00B009AC" w:rsidRPr="00980644">
        <w:t>H</w:t>
      </w:r>
      <w:r w:rsidR="006212DF" w:rsidRPr="00980644">
        <w:rPr>
          <w:vertAlign w:val="subscript"/>
        </w:rPr>
        <w:t>10</w:t>
      </w:r>
      <w:r w:rsidR="00B009AC" w:rsidRPr="00980644">
        <w:t>NO</w:t>
      </w:r>
      <w:r w:rsidR="00B009AC" w:rsidRPr="00980644">
        <w:rPr>
          <w:vertAlign w:val="subscript"/>
        </w:rPr>
        <w:t>3</w:t>
      </w:r>
      <w:r w:rsidR="00B009AC" w:rsidRPr="00980644">
        <w:t xml:space="preserve"> [M</w:t>
      </w:r>
      <w:r w:rsidR="006212DF" w:rsidRPr="00980644">
        <w:t>+H</w:t>
      </w:r>
      <w:r w:rsidR="00B009AC" w:rsidRPr="00980644">
        <w:t>]</w:t>
      </w:r>
      <w:r w:rsidR="00B009AC" w:rsidRPr="00980644">
        <w:rPr>
          <w:vertAlign w:val="superscript"/>
        </w:rPr>
        <w:t>+</w:t>
      </w:r>
      <w:r w:rsidR="00B009AC" w:rsidRPr="00980644">
        <w:t xml:space="preserve"> </w:t>
      </w:r>
      <w:r w:rsidR="006212DF" w:rsidRPr="00980644">
        <w:t>192.0661</w:t>
      </w:r>
      <w:r w:rsidR="00B009AC" w:rsidRPr="00980644">
        <w:t>; found 19</w:t>
      </w:r>
      <w:r w:rsidR="006212DF" w:rsidRPr="00980644">
        <w:t>2</w:t>
      </w:r>
      <w:r w:rsidR="00B009AC" w:rsidRPr="00980644">
        <w:t>.0</w:t>
      </w:r>
      <w:r w:rsidR="006212DF" w:rsidRPr="00980644">
        <w:t>657</w:t>
      </w:r>
      <w:r w:rsidR="00B009AC" w:rsidRPr="00980644">
        <w:t xml:space="preserve">; </w:t>
      </w:r>
      <w:r w:rsidR="00B009AC" w:rsidRPr="00980644">
        <w:rPr>
          <w:b/>
        </w:rPr>
        <w:t>m.p.</w:t>
      </w:r>
      <w:r w:rsidR="00B009AC" w:rsidRPr="00980644">
        <w:t xml:space="preserve"> 135-137 </w:t>
      </w:r>
      <w:r w:rsidR="00B009AC" w:rsidRPr="00980644">
        <w:rPr>
          <w:vertAlign w:val="superscript"/>
        </w:rPr>
        <w:t>o</w:t>
      </w:r>
      <w:r w:rsidR="00B009AC" w:rsidRPr="00980644">
        <w:t>C.</w:t>
      </w:r>
    </w:p>
    <w:p w14:paraId="7CF2A715" w14:textId="77777777" w:rsidR="00B009AC" w:rsidRPr="00980644" w:rsidRDefault="00B009AC" w:rsidP="00B009AC">
      <w:pPr>
        <w:pStyle w:val="Ttulo3"/>
        <w:jc w:val="both"/>
        <w:rPr>
          <w:iCs/>
          <w:szCs w:val="24"/>
        </w:rPr>
      </w:pPr>
      <w:r w:rsidRPr="00980644">
        <w:rPr>
          <w:szCs w:val="24"/>
        </w:rPr>
        <w:t xml:space="preserve">Synthesis of </w:t>
      </w:r>
      <w:r w:rsidRPr="00980644">
        <w:rPr>
          <w:iCs/>
          <w:szCs w:val="24"/>
        </w:rPr>
        <w:t>5-(N-tert-butoxycarbonyl-pyrrol-2-yl)-3-methoxy-furan-2-carbaldehyde (</w:t>
      </w:r>
      <w:r w:rsidRPr="00980644">
        <w:rPr>
          <w:b/>
          <w:bCs w:val="0"/>
          <w:iCs/>
          <w:szCs w:val="24"/>
        </w:rPr>
        <w:t>5</w:t>
      </w:r>
      <w:r w:rsidRPr="00980644">
        <w:rPr>
          <w:iCs/>
          <w:szCs w:val="24"/>
        </w:rPr>
        <w:t>)</w:t>
      </w:r>
    </w:p>
    <w:p w14:paraId="0400C6F2" w14:textId="5D435A0D" w:rsidR="00B009AC" w:rsidRPr="00980644" w:rsidRDefault="00B009AC" w:rsidP="00B009AC">
      <w:pPr>
        <w:tabs>
          <w:tab w:val="left" w:pos="7513"/>
        </w:tabs>
        <w:spacing w:before="120"/>
        <w:jc w:val="both"/>
      </w:pPr>
      <w:r w:rsidRPr="00980644">
        <w:t xml:space="preserve">In a Schlenk flask compound </w:t>
      </w:r>
      <w:r w:rsidRPr="00980644">
        <w:rPr>
          <w:b/>
          <w:bCs/>
        </w:rPr>
        <w:t>6</w:t>
      </w:r>
      <w:r w:rsidRPr="00980644">
        <w:t xml:space="preserve"> (0.46 g, 2.30 mmol, 1.0 equiv.), </w:t>
      </w:r>
      <w:r w:rsidRPr="00980644">
        <w:rPr>
          <w:i/>
        </w:rPr>
        <w:t>N</w:t>
      </w:r>
      <w:r w:rsidRPr="00980644">
        <w:t>-</w:t>
      </w:r>
      <w:r w:rsidR="00556390" w:rsidRPr="00980644">
        <w:rPr>
          <w:i/>
        </w:rPr>
        <w:t>tert</w:t>
      </w:r>
      <w:r w:rsidR="00556390" w:rsidRPr="00980644">
        <w:t xml:space="preserve">-butoxycarbonyl </w:t>
      </w:r>
      <w:r w:rsidRPr="00980644">
        <w:t>-pyrrole-2-boronic acid (0.53 g, 2.50 mmol, 1.1 equiv.) and Pd(PPh</w:t>
      </w:r>
      <w:r w:rsidRPr="00980644">
        <w:rPr>
          <w:vertAlign w:val="subscript"/>
        </w:rPr>
        <w:t>3</w:t>
      </w:r>
      <w:r w:rsidRPr="00980644">
        <w:t>)</w:t>
      </w:r>
      <w:r w:rsidRPr="00980644">
        <w:rPr>
          <w:vertAlign w:val="subscript"/>
        </w:rPr>
        <w:t xml:space="preserve">4 </w:t>
      </w:r>
      <w:r w:rsidRPr="00980644">
        <w:t xml:space="preserve">(0.26 g, 0.23 mmol, 0.1 equiv.) were subjected to three vacuum/nitrogen cycles. A deoxygenated mixture of 1,4-dioxane and water (25 mL, 9:1, </w:t>
      </w:r>
      <w:r w:rsidRPr="00980644">
        <w:rPr>
          <w:i/>
        </w:rPr>
        <w:t>v/v</w:t>
      </w:r>
      <w:r w:rsidRPr="00980644">
        <w:t>) was added to the Schlenk under</w:t>
      </w:r>
      <w:r w:rsidR="00C43871" w:rsidRPr="00980644">
        <w:t xml:space="preserve"> an</w:t>
      </w:r>
      <w:r w:rsidRPr="00980644">
        <w:t xml:space="preserve"> inert atmosphere, followed by Na</w:t>
      </w:r>
      <w:r w:rsidRPr="00980644">
        <w:rPr>
          <w:vertAlign w:val="subscript"/>
        </w:rPr>
        <w:t>2</w:t>
      </w:r>
      <w:r w:rsidRPr="00980644">
        <w:t>CO</w:t>
      </w:r>
      <w:r w:rsidRPr="00980644">
        <w:rPr>
          <w:vertAlign w:val="subscript"/>
        </w:rPr>
        <w:t>3</w:t>
      </w:r>
      <w:r w:rsidRPr="00980644">
        <w:t xml:space="preserve"> (0.72</w:t>
      </w:r>
      <w:r w:rsidR="00486932" w:rsidRPr="00980644">
        <w:t xml:space="preserve"> g</w:t>
      </w:r>
      <w:r w:rsidRPr="00980644">
        <w:t xml:space="preserve">, 6.8 mmol, 3.0 equiv.). The mixture was heated at 110 </w:t>
      </w:r>
      <w:r w:rsidRPr="00980644">
        <w:rPr>
          <w:bCs/>
          <w:vertAlign w:val="superscript"/>
        </w:rPr>
        <w:t>o</w:t>
      </w:r>
      <w:r w:rsidRPr="00980644">
        <w:rPr>
          <w:bCs/>
        </w:rPr>
        <w:t>C</w:t>
      </w:r>
      <w:r w:rsidRPr="00980644">
        <w:t xml:space="preserve"> until the total consumption of the starting material. </w:t>
      </w:r>
      <w:r w:rsidR="00FF5A7C" w:rsidRPr="00980644">
        <w:t>Upo</w:t>
      </w:r>
      <w:r w:rsidRPr="00980644">
        <w:t>n complet</w:t>
      </w:r>
      <w:r w:rsidR="00FF5A7C" w:rsidRPr="00980644">
        <w:t>ion of</w:t>
      </w:r>
      <w:r w:rsidRPr="00980644">
        <w:t xml:space="preserve"> the reaction, it was cooled, quenched with water and neutrali</w:t>
      </w:r>
      <w:r w:rsidR="009D5D4E" w:rsidRPr="00980644">
        <w:t>s</w:t>
      </w:r>
      <w:r w:rsidRPr="00980644">
        <w:t>ed with HCl (38%) to pH 7. The crude was extracted with ethyl acetate and the combined organic phases were dried over anhydrous Na</w:t>
      </w:r>
      <w:r w:rsidRPr="00980644">
        <w:rPr>
          <w:vertAlign w:val="subscript"/>
        </w:rPr>
        <w:t>2</w:t>
      </w:r>
      <w:r w:rsidRPr="00980644">
        <w:t>SO</w:t>
      </w:r>
      <w:r w:rsidRPr="00980644">
        <w:rPr>
          <w:vertAlign w:val="subscript"/>
        </w:rPr>
        <w:t>4</w:t>
      </w:r>
      <w:r w:rsidRPr="00980644">
        <w:t xml:space="preserve"> and concentrated under vacuum. The</w:t>
      </w:r>
      <w:r w:rsidR="00C43871" w:rsidRPr="00980644">
        <w:t xml:space="preserve"> residue was then purified</w:t>
      </w:r>
      <w:r w:rsidRPr="00980644">
        <w:t xml:space="preserve"> </w:t>
      </w:r>
      <w:r w:rsidR="00C43871" w:rsidRPr="00980644">
        <w:t>by</w:t>
      </w:r>
      <w:r w:rsidRPr="00980644">
        <w:t xml:space="preserve"> column chromatography </w:t>
      </w:r>
      <w:r w:rsidR="00C43871" w:rsidRPr="00980644">
        <w:t>i</w:t>
      </w:r>
      <w:r w:rsidRPr="00980644">
        <w:t>n Al</w:t>
      </w:r>
      <w:r w:rsidRPr="00980644">
        <w:rPr>
          <w:vertAlign w:val="subscript"/>
        </w:rPr>
        <w:t>2</w:t>
      </w:r>
      <w:r w:rsidRPr="00980644">
        <w:t>O</w:t>
      </w:r>
      <w:r w:rsidRPr="00980644">
        <w:rPr>
          <w:vertAlign w:val="subscript"/>
        </w:rPr>
        <w:t>3</w:t>
      </w:r>
      <w:r w:rsidR="00C43871" w:rsidRPr="00980644">
        <w:t xml:space="preserve">, </w:t>
      </w:r>
      <w:r w:rsidRPr="00980644">
        <w:t xml:space="preserve">using a mixture of hexane and ethyl acetate (1:1, </w:t>
      </w:r>
      <w:r w:rsidRPr="00980644">
        <w:rPr>
          <w:i/>
        </w:rPr>
        <w:lastRenderedPageBreak/>
        <w:t>v/v</w:t>
      </w:r>
      <w:r w:rsidRPr="00980644">
        <w:t xml:space="preserve">) as eluent to </w:t>
      </w:r>
      <w:r w:rsidR="002C16DB" w:rsidRPr="00980644">
        <w:t>yield</w:t>
      </w:r>
      <w:r w:rsidRPr="00980644">
        <w:t xml:space="preserve"> </w:t>
      </w:r>
      <w:r w:rsidRPr="00980644">
        <w:rPr>
          <w:b/>
          <w:bCs/>
        </w:rPr>
        <w:t>5</w:t>
      </w:r>
      <w:r w:rsidRPr="00980644">
        <w:t xml:space="preserve"> as a brown-green oil (0.45 g, 70%). </w:t>
      </w:r>
      <w:r w:rsidRPr="00980644">
        <w:rPr>
          <w:b/>
          <w:vertAlign w:val="superscript"/>
        </w:rPr>
        <w:t>1</w:t>
      </w:r>
      <w:r w:rsidRPr="00980644">
        <w:rPr>
          <w:b/>
        </w:rPr>
        <w:t>H NMR</w:t>
      </w:r>
      <w:r w:rsidRPr="00980644">
        <w:t xml:space="preserve"> (300 MHz, Acetone-</w:t>
      </w:r>
      <w:r w:rsidRPr="00980644">
        <w:rPr>
          <w:i/>
          <w:iCs/>
        </w:rPr>
        <w:t>d</w:t>
      </w:r>
      <w:r w:rsidRPr="00980644">
        <w:rPr>
          <w:i/>
          <w:iCs/>
          <w:vertAlign w:val="subscript"/>
        </w:rPr>
        <w:t>6</w:t>
      </w:r>
      <w:r w:rsidRPr="00980644">
        <w:t xml:space="preserve">) δ (ppm) 9.57 (1H, s), 7.48 (1H, dd, </w:t>
      </w:r>
      <w:r w:rsidRPr="00980644">
        <w:rPr>
          <w:i/>
        </w:rPr>
        <w:t xml:space="preserve">J </w:t>
      </w:r>
      <w:r w:rsidRPr="00980644">
        <w:t xml:space="preserve">= 3.4, 1.7 Hz), 6.86 (1H, s), 6.71 (1H, dd, </w:t>
      </w:r>
      <w:r w:rsidRPr="00980644">
        <w:rPr>
          <w:i/>
        </w:rPr>
        <w:t>J</w:t>
      </w:r>
      <w:r w:rsidRPr="00980644">
        <w:t xml:space="preserve"> = 3.4, 1.7 Hz), 6.33 (1H, t, </w:t>
      </w:r>
      <w:r w:rsidRPr="00980644">
        <w:rPr>
          <w:i/>
        </w:rPr>
        <w:t xml:space="preserve">J </w:t>
      </w:r>
      <w:r w:rsidRPr="00980644">
        <w:t xml:space="preserve">= 3.4 Hz), 4.02 (3H, s), 1.51 (9H, s); </w:t>
      </w:r>
      <w:r w:rsidRPr="00980644">
        <w:rPr>
          <w:b/>
          <w:vertAlign w:val="superscript"/>
        </w:rPr>
        <w:t>13</w:t>
      </w:r>
      <w:r w:rsidRPr="00980644">
        <w:rPr>
          <w:b/>
        </w:rPr>
        <w:t>C NMR</w:t>
      </w:r>
      <w:r w:rsidRPr="00980644">
        <w:t xml:space="preserve"> (75 MHz, Acetone-</w:t>
      </w:r>
      <w:r w:rsidRPr="00980644">
        <w:rPr>
          <w:i/>
          <w:iCs/>
        </w:rPr>
        <w:t>d</w:t>
      </w:r>
      <w:r w:rsidRPr="00980644">
        <w:rPr>
          <w:i/>
          <w:iCs/>
          <w:vertAlign w:val="subscript"/>
        </w:rPr>
        <w:t>6</w:t>
      </w:r>
      <w:r w:rsidRPr="00980644">
        <w:t>) δ (ppm) 172.6 (CH), 152.3 (Cq), 149.2 (Cq), 137.3 (Cq), 126.1 (CH), 124.1 (Cq), 119.0 (CH), 112.0 (CH), 101.5 (CH), 85.5 (Cq), 59.7 (CH</w:t>
      </w:r>
      <w:r w:rsidRPr="00980644">
        <w:rPr>
          <w:vertAlign w:val="subscript"/>
        </w:rPr>
        <w:t>3</w:t>
      </w:r>
      <w:r w:rsidRPr="00980644">
        <w:t>), 27.7 (CH</w:t>
      </w:r>
      <w:r w:rsidRPr="00980644">
        <w:rPr>
          <w:vertAlign w:val="subscript"/>
        </w:rPr>
        <w:t>3</w:t>
      </w:r>
      <w:r w:rsidRPr="00980644">
        <w:t xml:space="preserve">). </w:t>
      </w:r>
    </w:p>
    <w:p w14:paraId="2CDCDE33" w14:textId="77777777" w:rsidR="002C23C2" w:rsidRPr="00980644" w:rsidRDefault="002C23C2" w:rsidP="0024066E">
      <w:pPr>
        <w:pStyle w:val="Ttulo3"/>
        <w:rPr>
          <w:b/>
          <w:iCs/>
          <w:szCs w:val="24"/>
        </w:rPr>
      </w:pPr>
      <w:r w:rsidRPr="00980644">
        <w:rPr>
          <w:szCs w:val="24"/>
        </w:rPr>
        <w:t xml:space="preserve">Synthesis of </w:t>
      </w:r>
      <w:r w:rsidR="0024066E" w:rsidRPr="00980644">
        <w:rPr>
          <w:iCs/>
          <w:szCs w:val="24"/>
        </w:rPr>
        <w:t>5-</w:t>
      </w:r>
      <w:r w:rsidR="00B009AC" w:rsidRPr="00980644">
        <w:rPr>
          <w:iCs/>
          <w:szCs w:val="24"/>
        </w:rPr>
        <w:t>b</w:t>
      </w:r>
      <w:r w:rsidR="0024066E" w:rsidRPr="00980644">
        <w:rPr>
          <w:iCs/>
          <w:szCs w:val="24"/>
        </w:rPr>
        <w:t>romo-3-methoxy-furan-2-carbaldehyde</w:t>
      </w:r>
      <w:r w:rsidR="00B009AC" w:rsidRPr="00980644">
        <w:rPr>
          <w:iCs/>
          <w:szCs w:val="24"/>
        </w:rPr>
        <w:t xml:space="preserve"> </w:t>
      </w:r>
      <w:r w:rsidR="00B009AC" w:rsidRPr="00980644">
        <w:rPr>
          <w:i w:val="0"/>
          <w:szCs w:val="24"/>
        </w:rPr>
        <w:t>(</w:t>
      </w:r>
      <w:r w:rsidR="00B009AC" w:rsidRPr="00980644">
        <w:rPr>
          <w:b/>
          <w:bCs w:val="0"/>
          <w:i w:val="0"/>
          <w:szCs w:val="24"/>
        </w:rPr>
        <w:t>6</w:t>
      </w:r>
      <w:r w:rsidR="0024066E" w:rsidRPr="00980644">
        <w:rPr>
          <w:i w:val="0"/>
          <w:szCs w:val="24"/>
        </w:rPr>
        <w:t>)</w:t>
      </w:r>
    </w:p>
    <w:p w14:paraId="30450B6B" w14:textId="7776F2E3" w:rsidR="00586222" w:rsidRPr="00980644" w:rsidRDefault="00586222" w:rsidP="00586222">
      <w:pPr>
        <w:pStyle w:val="Paragraph"/>
        <w:jc w:val="both"/>
      </w:pPr>
      <w:r w:rsidRPr="00980644">
        <w:t xml:space="preserve">A solution of phosphorous oxybromide (8.43 g, 29.3 mmol, 2.5 equiv.) in chloroform (10 mL) was added to </w:t>
      </w:r>
      <w:r w:rsidR="00E824B5" w:rsidRPr="00980644">
        <w:t xml:space="preserve">compound </w:t>
      </w:r>
      <w:r w:rsidR="003B4576" w:rsidRPr="00980644">
        <w:rPr>
          <w:b/>
          <w:bCs/>
        </w:rPr>
        <w:t>7</w:t>
      </w:r>
      <w:r w:rsidRPr="00980644">
        <w:t xml:space="preserve"> (2.00 g, 11.6 mmol, 1.0 equiv.) in chloroform (4 mL) at 0 </w:t>
      </w:r>
      <w:r w:rsidRPr="00980644">
        <w:rPr>
          <w:bCs/>
          <w:vertAlign w:val="superscript"/>
        </w:rPr>
        <w:t>o</w:t>
      </w:r>
      <w:r w:rsidRPr="00980644">
        <w:rPr>
          <w:bCs/>
        </w:rPr>
        <w:t>C</w:t>
      </w:r>
      <w:r w:rsidRPr="00980644">
        <w:t xml:space="preserve">. The mixture was stirred during 10 min at 0 </w:t>
      </w:r>
      <w:r w:rsidRPr="00980644">
        <w:rPr>
          <w:bCs/>
          <w:vertAlign w:val="superscript"/>
        </w:rPr>
        <w:t>o</w:t>
      </w:r>
      <w:r w:rsidRPr="00980644">
        <w:rPr>
          <w:bCs/>
        </w:rPr>
        <w:t>C</w:t>
      </w:r>
      <w:r w:rsidRPr="00980644">
        <w:t xml:space="preserve"> and then it was heated</w:t>
      </w:r>
      <w:r w:rsidR="003F64C9" w:rsidRPr="00980644">
        <w:t xml:space="preserve"> for</w:t>
      </w:r>
      <w:r w:rsidRPr="00980644">
        <w:t xml:space="preserve"> 4 hours at 55 </w:t>
      </w:r>
      <w:r w:rsidRPr="00980644">
        <w:rPr>
          <w:bCs/>
          <w:vertAlign w:val="superscript"/>
        </w:rPr>
        <w:t>o</w:t>
      </w:r>
      <w:r w:rsidRPr="00980644">
        <w:rPr>
          <w:bCs/>
        </w:rPr>
        <w:t>C</w:t>
      </w:r>
      <w:r w:rsidRPr="00980644">
        <w:t xml:space="preserve">. </w:t>
      </w:r>
      <w:r w:rsidR="002C16DB" w:rsidRPr="00980644">
        <w:t>Upo</w:t>
      </w:r>
      <w:r w:rsidRPr="00980644">
        <w:t xml:space="preserve">n completion of the reaction, it was quenched with water and the organic layer was </w:t>
      </w:r>
      <w:r w:rsidR="002C16DB" w:rsidRPr="00980644">
        <w:t>discar</w:t>
      </w:r>
      <w:r w:rsidR="000160D7" w:rsidRPr="00980644">
        <w:t>d</w:t>
      </w:r>
      <w:r w:rsidRPr="00980644">
        <w:t>ed. The aqueous layer was adjusted to pH 14 with</w:t>
      </w:r>
      <w:r w:rsidR="000160D7" w:rsidRPr="00980644">
        <w:t xml:space="preserve"> a</w:t>
      </w:r>
      <w:r w:rsidRPr="00980644">
        <w:t xml:space="preserve"> </w:t>
      </w:r>
      <w:r w:rsidR="00486932" w:rsidRPr="00980644">
        <w:t>2</w:t>
      </w:r>
      <w:r w:rsidR="000160D7" w:rsidRPr="00980644">
        <w:t xml:space="preserve"> </w:t>
      </w:r>
      <w:r w:rsidR="00486932" w:rsidRPr="00980644">
        <w:t xml:space="preserve">M </w:t>
      </w:r>
      <w:r w:rsidRPr="00980644">
        <w:t xml:space="preserve">NaOH </w:t>
      </w:r>
      <w:r w:rsidR="00486932" w:rsidRPr="00980644">
        <w:t>aqueous solution</w:t>
      </w:r>
      <w:r w:rsidRPr="00980644">
        <w:t xml:space="preserve"> and extracted with ethyl acetate. The combined organic phases were dried over</w:t>
      </w:r>
      <w:r w:rsidR="00C43871" w:rsidRPr="00980644">
        <w:t xml:space="preserve"> anhydrous</w:t>
      </w:r>
      <w:r w:rsidRPr="00980644">
        <w:t xml:space="preserve"> Na</w:t>
      </w:r>
      <w:r w:rsidRPr="00980644">
        <w:rPr>
          <w:vertAlign w:val="subscript"/>
        </w:rPr>
        <w:t>2</w:t>
      </w:r>
      <w:r w:rsidRPr="00980644">
        <w:t>SO</w:t>
      </w:r>
      <w:r w:rsidRPr="00980644">
        <w:rPr>
          <w:vertAlign w:val="subscript"/>
        </w:rPr>
        <w:t>4</w:t>
      </w:r>
      <w:r w:rsidRPr="00980644">
        <w:t xml:space="preserve"> and evaporated to dryness. The residue was purified by column chromatography in silica gel using a mixture of ethyl acetate and hexane (</w:t>
      </w:r>
      <w:r w:rsidR="0021418F" w:rsidRPr="00980644">
        <w:t>2</w:t>
      </w:r>
      <w:r w:rsidRPr="00980644">
        <w:t>:</w:t>
      </w:r>
      <w:r w:rsidR="0021418F" w:rsidRPr="00980644">
        <w:t>1</w:t>
      </w:r>
      <w:r w:rsidRPr="00980644">
        <w:t xml:space="preserve">, </w:t>
      </w:r>
      <w:r w:rsidRPr="00980644">
        <w:rPr>
          <w:i/>
          <w:iCs/>
        </w:rPr>
        <w:t>v/v</w:t>
      </w:r>
      <w:r w:rsidRPr="00980644">
        <w:t xml:space="preserve">) as eluent to afford </w:t>
      </w:r>
      <w:r w:rsidRPr="00980644">
        <w:rPr>
          <w:iCs/>
        </w:rPr>
        <w:t>aldehyde</w:t>
      </w:r>
      <w:r w:rsidRPr="00980644">
        <w:t xml:space="preserve"> </w:t>
      </w:r>
      <w:r w:rsidR="007E47EF" w:rsidRPr="00980644">
        <w:rPr>
          <w:b/>
        </w:rPr>
        <w:t>6</w:t>
      </w:r>
      <w:r w:rsidRPr="00980644">
        <w:t xml:space="preserve"> as an instable </w:t>
      </w:r>
      <w:r w:rsidR="005E4527" w:rsidRPr="00980644">
        <w:t xml:space="preserve">dark brown </w:t>
      </w:r>
      <w:r w:rsidRPr="00980644">
        <w:t>solid (</w:t>
      </w:r>
      <w:r w:rsidR="007E47EF" w:rsidRPr="00980644">
        <w:t xml:space="preserve">0.80 g, </w:t>
      </w:r>
      <w:r w:rsidRPr="00980644">
        <w:t>22%)</w:t>
      </w:r>
      <w:r w:rsidR="005E4527" w:rsidRPr="00980644">
        <w:t xml:space="preserve">. </w:t>
      </w:r>
      <w:r w:rsidR="005E4527" w:rsidRPr="00980644">
        <w:rPr>
          <w:b/>
          <w:vertAlign w:val="superscript"/>
        </w:rPr>
        <w:t>1</w:t>
      </w:r>
      <w:r w:rsidR="005E4527" w:rsidRPr="00980644">
        <w:rPr>
          <w:b/>
        </w:rPr>
        <w:t>H NMR</w:t>
      </w:r>
      <w:r w:rsidR="005E4527" w:rsidRPr="00980644">
        <w:t xml:space="preserve"> (300 MHz, CDCl</w:t>
      </w:r>
      <w:r w:rsidR="005E4527" w:rsidRPr="00980644">
        <w:rPr>
          <w:vertAlign w:val="subscript"/>
        </w:rPr>
        <w:t>3</w:t>
      </w:r>
      <w:r w:rsidR="005E4527" w:rsidRPr="00980644">
        <w:t>) δ (ppm) 9.</w:t>
      </w:r>
      <w:r w:rsidR="0046555A" w:rsidRPr="00980644">
        <w:t>34</w:t>
      </w:r>
      <w:r w:rsidR="005E4527" w:rsidRPr="00980644">
        <w:t xml:space="preserve"> (1H, s), 6.40 (1H, s), 3.95 (3H, s). </w:t>
      </w:r>
      <w:r w:rsidR="009D5D4E" w:rsidRPr="00980644">
        <w:t>Spectroscopic d</w:t>
      </w:r>
      <w:r w:rsidR="005E4527" w:rsidRPr="00980644">
        <w:t>ata match th</w:t>
      </w:r>
      <w:r w:rsidR="002C16DB" w:rsidRPr="00980644">
        <w:t>ose</w:t>
      </w:r>
      <w:r w:rsidR="005E4527" w:rsidRPr="00980644">
        <w:t xml:space="preserve"> previously reported for this compound</w:t>
      </w:r>
      <w:r w:rsidR="00260C3F" w:rsidRPr="00980644">
        <w:t xml:space="preserve"> [24]</w:t>
      </w:r>
      <w:r w:rsidR="005E4527" w:rsidRPr="00980644">
        <w:t>.</w:t>
      </w:r>
    </w:p>
    <w:p w14:paraId="63D3C6E2" w14:textId="73E9E5FF" w:rsidR="00586222" w:rsidRPr="00980644" w:rsidRDefault="00586222" w:rsidP="00586222">
      <w:pPr>
        <w:pStyle w:val="Ttulo3"/>
        <w:rPr>
          <w:b/>
          <w:szCs w:val="24"/>
        </w:rPr>
      </w:pPr>
      <w:r w:rsidRPr="00980644">
        <w:rPr>
          <w:szCs w:val="24"/>
        </w:rPr>
        <w:t xml:space="preserve">Synthesis of </w:t>
      </w:r>
      <w:r w:rsidR="004C1530" w:rsidRPr="00980644">
        <w:rPr>
          <w:szCs w:val="24"/>
        </w:rPr>
        <w:t>5-(</w:t>
      </w:r>
      <w:r w:rsidR="00B009AC" w:rsidRPr="00980644">
        <w:rPr>
          <w:szCs w:val="24"/>
        </w:rPr>
        <w:t>f</w:t>
      </w:r>
      <w:r w:rsidR="004C1530" w:rsidRPr="00980644">
        <w:rPr>
          <w:szCs w:val="24"/>
        </w:rPr>
        <w:t>uran-2-yl)-3-methoxy-1H-pyrrole-2-carbaldehyde</w:t>
      </w:r>
      <w:r w:rsidR="00B009AC" w:rsidRPr="00980644">
        <w:rPr>
          <w:i w:val="0"/>
          <w:iCs/>
          <w:szCs w:val="24"/>
        </w:rPr>
        <w:t xml:space="preserve"> (</w:t>
      </w:r>
      <w:r w:rsidR="003B4576" w:rsidRPr="00980644">
        <w:rPr>
          <w:b/>
          <w:bCs w:val="0"/>
          <w:i w:val="0"/>
          <w:iCs/>
          <w:szCs w:val="24"/>
        </w:rPr>
        <w:t>8</w:t>
      </w:r>
      <w:r w:rsidR="004C1530" w:rsidRPr="00980644">
        <w:rPr>
          <w:i w:val="0"/>
          <w:iCs/>
          <w:szCs w:val="24"/>
        </w:rPr>
        <w:t>)</w:t>
      </w:r>
    </w:p>
    <w:p w14:paraId="4E81C316" w14:textId="7FD6CEF7" w:rsidR="004C1530" w:rsidRPr="00980644" w:rsidRDefault="004C1530" w:rsidP="00837605">
      <w:pPr>
        <w:pStyle w:val="Paragraph"/>
        <w:jc w:val="both"/>
      </w:pPr>
      <w:r w:rsidRPr="00980644">
        <w:t xml:space="preserve">In a Schlenk flask </w:t>
      </w:r>
      <w:r w:rsidR="00E824B5" w:rsidRPr="00980644">
        <w:t xml:space="preserve">precursor </w:t>
      </w:r>
      <w:r w:rsidR="003B4576" w:rsidRPr="00980644">
        <w:rPr>
          <w:b/>
          <w:bCs/>
        </w:rPr>
        <w:t>9</w:t>
      </w:r>
      <w:r w:rsidRPr="00980644">
        <w:t xml:space="preserve"> (0.25 g, </w:t>
      </w:r>
      <w:r w:rsidR="00837605" w:rsidRPr="00980644">
        <w:t>0.97</w:t>
      </w:r>
      <w:r w:rsidRPr="00980644">
        <w:t xml:space="preserve"> mmol</w:t>
      </w:r>
      <w:r w:rsidR="00837605" w:rsidRPr="00980644">
        <w:t>, 1.0 equiv.</w:t>
      </w:r>
      <w:r w:rsidRPr="00980644">
        <w:t xml:space="preserve">), </w:t>
      </w:r>
      <w:r w:rsidRPr="00980644">
        <w:rPr>
          <w:i/>
          <w:iCs/>
        </w:rPr>
        <w:t>N</w:t>
      </w:r>
      <w:r w:rsidRPr="00980644">
        <w:t>-</w:t>
      </w:r>
      <w:r w:rsidR="00980644" w:rsidRPr="00980644">
        <w:t>B</w:t>
      </w:r>
      <w:r w:rsidRPr="00980644">
        <w:t>oc-pyrrole-2-boronic acid (</w:t>
      </w:r>
      <w:r w:rsidR="00837605" w:rsidRPr="00980644">
        <w:t xml:space="preserve">0.12 g, 1.06 mmol, </w:t>
      </w:r>
      <w:r w:rsidRPr="00980644">
        <w:t>1.1 equiv.) and Pd(PPh</w:t>
      </w:r>
      <w:r w:rsidRPr="00980644">
        <w:rPr>
          <w:vertAlign w:val="subscript"/>
        </w:rPr>
        <w:t>3</w:t>
      </w:r>
      <w:r w:rsidRPr="00980644">
        <w:t>)</w:t>
      </w:r>
      <w:r w:rsidRPr="00980644">
        <w:rPr>
          <w:vertAlign w:val="subscript"/>
        </w:rPr>
        <w:t xml:space="preserve">4 </w:t>
      </w:r>
      <w:r w:rsidRPr="00980644">
        <w:t>(</w:t>
      </w:r>
      <w:r w:rsidR="00837605" w:rsidRPr="00980644">
        <w:t xml:space="preserve">0.11 g, 0.09 mmol, </w:t>
      </w:r>
      <w:r w:rsidRPr="00980644">
        <w:t>0.1 equiv.) were subjected to three vacuum/nitrogen cycles. A deoxygenated mixture of 1,4-dioxane and water (</w:t>
      </w:r>
      <w:r w:rsidR="00837605" w:rsidRPr="00980644">
        <w:t xml:space="preserve">5 mL, </w:t>
      </w:r>
      <w:r w:rsidRPr="00980644">
        <w:t xml:space="preserve">9:1, </w:t>
      </w:r>
      <w:r w:rsidRPr="00980644">
        <w:rPr>
          <w:i/>
          <w:iCs/>
        </w:rPr>
        <w:t>v/v</w:t>
      </w:r>
      <w:r w:rsidRPr="00980644">
        <w:t>) was added to the Schlenk under</w:t>
      </w:r>
      <w:r w:rsidR="00FC6C2D" w:rsidRPr="00980644">
        <w:t xml:space="preserve"> an</w:t>
      </w:r>
      <w:r w:rsidRPr="00980644">
        <w:t xml:space="preserve"> inert atmosphere, followed by Na</w:t>
      </w:r>
      <w:r w:rsidRPr="00980644">
        <w:rPr>
          <w:vertAlign w:val="subscript"/>
        </w:rPr>
        <w:t>2</w:t>
      </w:r>
      <w:r w:rsidRPr="00980644">
        <w:t>CO</w:t>
      </w:r>
      <w:r w:rsidRPr="00980644">
        <w:rPr>
          <w:vertAlign w:val="subscript"/>
        </w:rPr>
        <w:t>3</w:t>
      </w:r>
      <w:r w:rsidRPr="00980644">
        <w:t xml:space="preserve"> (</w:t>
      </w:r>
      <w:r w:rsidR="00837605" w:rsidRPr="00980644">
        <w:t xml:space="preserve">0.31 g, 2.90 mmol, </w:t>
      </w:r>
      <w:r w:rsidRPr="00980644">
        <w:t xml:space="preserve">3.0 equiv.). The mixture was heated at 110 </w:t>
      </w:r>
      <w:r w:rsidRPr="00980644">
        <w:rPr>
          <w:vertAlign w:val="superscript"/>
        </w:rPr>
        <w:t>o</w:t>
      </w:r>
      <w:r w:rsidRPr="00980644">
        <w:t>C until the total consumption of the starting material. On</w:t>
      </w:r>
      <w:r w:rsidR="002C16DB" w:rsidRPr="00980644">
        <w:t>ce</w:t>
      </w:r>
      <w:r w:rsidRPr="00980644">
        <w:t xml:space="preserve"> the reaction</w:t>
      </w:r>
      <w:r w:rsidR="000160D7" w:rsidRPr="00980644">
        <w:t xml:space="preserve"> was completed</w:t>
      </w:r>
      <w:r w:rsidRPr="00980644">
        <w:t xml:space="preserve">, it was cooled, </w:t>
      </w:r>
      <w:r w:rsidRPr="00980644">
        <w:lastRenderedPageBreak/>
        <w:t>quenched with water and neutrali</w:t>
      </w:r>
      <w:r w:rsidR="009D5D4E" w:rsidRPr="00980644">
        <w:t>s</w:t>
      </w:r>
      <w:r w:rsidRPr="00980644">
        <w:t>ed with HCl (38%) to pH 7. The crude was extracted with ethyl acetate and the combined organic phases were dried over anhydrous Na</w:t>
      </w:r>
      <w:r w:rsidRPr="00980644">
        <w:rPr>
          <w:vertAlign w:val="subscript"/>
        </w:rPr>
        <w:t>2</w:t>
      </w:r>
      <w:r w:rsidRPr="00980644">
        <w:t>SO</w:t>
      </w:r>
      <w:r w:rsidRPr="00980644">
        <w:rPr>
          <w:vertAlign w:val="subscript"/>
        </w:rPr>
        <w:t>4</w:t>
      </w:r>
      <w:r w:rsidRPr="00980644">
        <w:t xml:space="preserve"> and concentrated under vacuum.</w:t>
      </w:r>
      <w:r w:rsidR="00837605" w:rsidRPr="00980644">
        <w:t xml:space="preserve"> </w:t>
      </w:r>
      <w:r w:rsidRPr="00980644">
        <w:rPr>
          <w:lang w:eastAsia="es-ES"/>
        </w:rPr>
        <w:t xml:space="preserve">Purification </w:t>
      </w:r>
      <w:r w:rsidR="00837605" w:rsidRPr="00980644">
        <w:rPr>
          <w:lang w:eastAsia="es-ES"/>
        </w:rPr>
        <w:t xml:space="preserve">was carried out </w:t>
      </w:r>
      <w:r w:rsidRPr="00980644">
        <w:rPr>
          <w:lang w:eastAsia="es-ES"/>
        </w:rPr>
        <w:t>by c</w:t>
      </w:r>
      <w:r w:rsidRPr="00980644">
        <w:t xml:space="preserve">olumn chromatography in silica gel using a mixture of hexane and ethyl acetate (2:1, </w:t>
      </w:r>
      <w:r w:rsidRPr="00980644">
        <w:rPr>
          <w:i/>
          <w:iCs/>
        </w:rPr>
        <w:t>v/v</w:t>
      </w:r>
      <w:r w:rsidRPr="00980644">
        <w:t>) as eluent</w:t>
      </w:r>
      <w:r w:rsidR="00837605" w:rsidRPr="00980644">
        <w:t xml:space="preserve"> to </w:t>
      </w:r>
      <w:r w:rsidR="007E47EF" w:rsidRPr="00980644">
        <w:t xml:space="preserve">yield </w:t>
      </w:r>
      <w:r w:rsidR="00B009AC" w:rsidRPr="00980644">
        <w:t>aldehyde</w:t>
      </w:r>
      <w:r w:rsidR="00837605" w:rsidRPr="00980644">
        <w:t xml:space="preserve"> </w:t>
      </w:r>
      <w:r w:rsidR="00486932" w:rsidRPr="00980644">
        <w:rPr>
          <w:b/>
          <w:bCs/>
        </w:rPr>
        <w:t xml:space="preserve">8 </w:t>
      </w:r>
      <w:r w:rsidR="00837605" w:rsidRPr="00980644">
        <w:t>as a b</w:t>
      </w:r>
      <w:r w:rsidRPr="00980644">
        <w:rPr>
          <w:lang w:eastAsia="es-ES"/>
        </w:rPr>
        <w:t>rown solid (</w:t>
      </w:r>
      <w:r w:rsidR="00837605" w:rsidRPr="00980644">
        <w:rPr>
          <w:lang w:eastAsia="es-ES"/>
        </w:rPr>
        <w:t xml:space="preserve">0.11 g, </w:t>
      </w:r>
      <w:r w:rsidRPr="00980644">
        <w:rPr>
          <w:lang w:eastAsia="es-ES"/>
        </w:rPr>
        <w:t xml:space="preserve">58%). </w:t>
      </w:r>
      <w:r w:rsidRPr="00980644">
        <w:rPr>
          <w:b/>
          <w:vertAlign w:val="superscript"/>
          <w:lang w:eastAsia="es-ES"/>
        </w:rPr>
        <w:t>1</w:t>
      </w:r>
      <w:r w:rsidRPr="00980644">
        <w:rPr>
          <w:b/>
          <w:lang w:eastAsia="es-ES"/>
        </w:rPr>
        <w:t>H NMR</w:t>
      </w:r>
      <w:r w:rsidRPr="00980644">
        <w:rPr>
          <w:lang w:eastAsia="es-ES"/>
        </w:rPr>
        <w:t xml:space="preserve"> (300 MHz, CDCl</w:t>
      </w:r>
      <w:r w:rsidRPr="00980644">
        <w:rPr>
          <w:vertAlign w:val="subscript"/>
          <w:lang w:eastAsia="es-ES"/>
        </w:rPr>
        <w:t>3</w:t>
      </w:r>
      <w:r w:rsidRPr="00980644">
        <w:rPr>
          <w:lang w:eastAsia="es-ES"/>
        </w:rPr>
        <w:t xml:space="preserve">) δ (ppm) 10.51 (1H, br s), 9.52 (1H, s), 7.44 (1H, dd, </w:t>
      </w:r>
      <w:r w:rsidRPr="00980644">
        <w:rPr>
          <w:i/>
          <w:iCs/>
          <w:lang w:eastAsia="es-ES"/>
        </w:rPr>
        <w:t>J</w:t>
      </w:r>
      <w:r w:rsidRPr="00980644">
        <w:rPr>
          <w:lang w:eastAsia="es-ES"/>
        </w:rPr>
        <w:t xml:space="preserve"> = 1.7, 0.7 Hz), 6.93 (1H, d, </w:t>
      </w:r>
      <w:r w:rsidRPr="00980644">
        <w:rPr>
          <w:i/>
          <w:iCs/>
          <w:lang w:eastAsia="es-ES"/>
        </w:rPr>
        <w:t>J</w:t>
      </w:r>
      <w:r w:rsidRPr="00980644">
        <w:rPr>
          <w:lang w:eastAsia="es-ES"/>
        </w:rPr>
        <w:t xml:space="preserve"> = 3.4 Hz), 6.47 (1H, dd, </w:t>
      </w:r>
      <w:r w:rsidRPr="00980644">
        <w:rPr>
          <w:i/>
          <w:iCs/>
          <w:lang w:eastAsia="es-ES"/>
        </w:rPr>
        <w:t>J</w:t>
      </w:r>
      <w:r w:rsidRPr="00980644">
        <w:rPr>
          <w:lang w:eastAsia="es-ES"/>
        </w:rPr>
        <w:t xml:space="preserve"> = 3.5, 1.8 Hz, 1H), 6.11 (1H, s), 3.89 (3H, s); </w:t>
      </w:r>
      <w:r w:rsidRPr="00980644">
        <w:rPr>
          <w:b/>
          <w:vertAlign w:val="superscript"/>
        </w:rPr>
        <w:t>13</w:t>
      </w:r>
      <w:r w:rsidRPr="00980644">
        <w:rPr>
          <w:b/>
        </w:rPr>
        <w:t>C NMR</w:t>
      </w:r>
      <w:r w:rsidRPr="00980644">
        <w:t xml:space="preserve"> (75 MHz, CDCl</w:t>
      </w:r>
      <w:r w:rsidRPr="00980644">
        <w:rPr>
          <w:vertAlign w:val="subscript"/>
        </w:rPr>
        <w:t>3</w:t>
      </w:r>
      <w:r w:rsidRPr="00980644">
        <w:t>) δ (ppm) 174.5 (CH), 159.3 (Cq), 146.4 (Cq), 143.0 (CH), 131.0 (Cq), 119.0 (Cq), 112.2 (CH), 108.3 (CH), 92.2 (CH), 58.1 (CH</w:t>
      </w:r>
      <w:r w:rsidRPr="00980644">
        <w:rPr>
          <w:vertAlign w:val="subscript"/>
        </w:rPr>
        <w:t>3</w:t>
      </w:r>
      <w:r w:rsidRPr="00980644">
        <w:t xml:space="preserve">); </w:t>
      </w:r>
      <w:r w:rsidRPr="00980644">
        <w:rPr>
          <w:b/>
        </w:rPr>
        <w:t>HRMS (ESI)</w:t>
      </w:r>
      <w:r w:rsidRPr="00980644">
        <w:t xml:space="preserve"> </w:t>
      </w:r>
      <w:r w:rsidRPr="00980644">
        <w:rPr>
          <w:i/>
          <w:iCs/>
        </w:rPr>
        <w:t>m/z</w:t>
      </w:r>
      <w:r w:rsidRPr="00980644">
        <w:t>: calcd. for C</w:t>
      </w:r>
      <w:r w:rsidRPr="00980644">
        <w:rPr>
          <w:vertAlign w:val="subscript"/>
        </w:rPr>
        <w:t>10</w:t>
      </w:r>
      <w:r w:rsidRPr="00980644">
        <w:t>H</w:t>
      </w:r>
      <w:r w:rsidRPr="00980644">
        <w:rPr>
          <w:vertAlign w:val="subscript"/>
        </w:rPr>
        <w:t>10</w:t>
      </w:r>
      <w:r w:rsidRPr="00980644">
        <w:t>NO</w:t>
      </w:r>
      <w:r w:rsidRPr="00980644">
        <w:rPr>
          <w:vertAlign w:val="subscript"/>
        </w:rPr>
        <w:t>3</w:t>
      </w:r>
      <w:r w:rsidRPr="00980644">
        <w:t xml:space="preserve"> [M+H]</w:t>
      </w:r>
      <w:r w:rsidRPr="00980644">
        <w:rPr>
          <w:vertAlign w:val="superscript"/>
        </w:rPr>
        <w:t>+</w:t>
      </w:r>
      <w:r w:rsidRPr="00980644">
        <w:t xml:space="preserve"> 192.0660, found 192.0658; </w:t>
      </w:r>
      <w:r w:rsidRPr="00980644">
        <w:rPr>
          <w:b/>
        </w:rPr>
        <w:t>m.p.</w:t>
      </w:r>
      <w:r w:rsidRPr="00980644">
        <w:t xml:space="preserve"> 140-142 </w:t>
      </w:r>
      <w:r w:rsidRPr="00980644">
        <w:rPr>
          <w:vertAlign w:val="superscript"/>
        </w:rPr>
        <w:t>o</w:t>
      </w:r>
      <w:r w:rsidRPr="00980644">
        <w:t>C.</w:t>
      </w:r>
    </w:p>
    <w:p w14:paraId="0ABEEC67" w14:textId="079EA13D" w:rsidR="006F0D30" w:rsidRPr="00980644" w:rsidRDefault="006F0D30" w:rsidP="006F0D30">
      <w:pPr>
        <w:pStyle w:val="Ttulo2"/>
      </w:pPr>
      <w:r w:rsidRPr="00980644">
        <w:t xml:space="preserve">2.3 </w:t>
      </w:r>
      <w:r w:rsidR="00260C3F" w:rsidRPr="00980644">
        <w:t>T</w:t>
      </w:r>
      <w:r w:rsidRPr="00980644">
        <w:t xml:space="preserve">ransmembrane </w:t>
      </w:r>
      <w:r w:rsidR="00260C3F" w:rsidRPr="00980644">
        <w:t xml:space="preserve">anion </w:t>
      </w:r>
      <w:r w:rsidRPr="00980644">
        <w:t>transport experiments</w:t>
      </w:r>
      <w:r w:rsidR="00180BC0" w:rsidRPr="00980644">
        <w:t xml:space="preserve"> </w:t>
      </w:r>
    </w:p>
    <w:p w14:paraId="5BF472CE" w14:textId="102F7BB6" w:rsidR="001D32FE" w:rsidRPr="00980644" w:rsidRDefault="000C0269" w:rsidP="00E71CDE">
      <w:pPr>
        <w:spacing w:before="240" w:after="120"/>
        <w:ind w:firstLine="720"/>
        <w:jc w:val="both"/>
      </w:pPr>
      <w:r w:rsidRPr="00980644">
        <w:t>1-</w:t>
      </w:r>
      <w:r w:rsidR="00980644" w:rsidRPr="00980644">
        <w:t>P</w:t>
      </w:r>
      <w:r w:rsidRPr="00980644">
        <w:t>almitoyl-2-oleoyl-</w:t>
      </w:r>
      <w:r w:rsidRPr="00980644">
        <w:rPr>
          <w:i/>
        </w:rPr>
        <w:t>sn</w:t>
      </w:r>
      <w:r w:rsidRPr="00980644">
        <w:t>-glycero-3-phosphocholine (POPC)</w:t>
      </w:r>
      <w:r w:rsidR="00260C3F" w:rsidRPr="00980644">
        <w:t xml:space="preserve"> (</w:t>
      </w:r>
      <w:r w:rsidR="006F0D30" w:rsidRPr="00980644">
        <w:t>Sigma</w:t>
      </w:r>
      <w:r w:rsidR="007250B8" w:rsidRPr="00980644">
        <w:t>-</w:t>
      </w:r>
      <w:r w:rsidR="006F0D30" w:rsidRPr="00980644">
        <w:t>Aldrich</w:t>
      </w:r>
      <w:r w:rsidR="00260C3F" w:rsidRPr="00980644">
        <w:t>)</w:t>
      </w:r>
      <w:r w:rsidR="002C16DB" w:rsidRPr="00980644">
        <w:t xml:space="preserve"> </w:t>
      </w:r>
      <w:r w:rsidR="006F0D30" w:rsidRPr="00980644">
        <w:t xml:space="preserve">stock solutions (20 mg/mL = 26.32 mM) were prepared in chloroform and kept in the freezer. For preparing POPC vesicles, 3 mL of the POPC </w:t>
      </w:r>
      <w:r w:rsidR="00985FCA" w:rsidRPr="00980644">
        <w:t xml:space="preserve">stock </w:t>
      </w:r>
      <w:r w:rsidR="006F0D30" w:rsidRPr="00980644">
        <w:t>solution w</w:t>
      </w:r>
      <w:r w:rsidR="007250B8" w:rsidRPr="00980644">
        <w:t>ere</w:t>
      </w:r>
      <w:r w:rsidR="006F0D30" w:rsidRPr="00980644">
        <w:t xml:space="preserve"> added to a round</w:t>
      </w:r>
      <w:r w:rsidR="00985FCA" w:rsidRPr="00980644">
        <w:t>-</w:t>
      </w:r>
      <w:r w:rsidR="006F0D30" w:rsidRPr="00980644">
        <w:t xml:space="preserve">bottom flask. The solvent was evaporated using a rotary evaporator (25 </w:t>
      </w:r>
      <w:r w:rsidR="006F0D30" w:rsidRPr="00980644">
        <w:rPr>
          <w:vertAlign w:val="superscript"/>
        </w:rPr>
        <w:t>o</w:t>
      </w:r>
      <w:r w:rsidR="006F0D30" w:rsidRPr="00980644">
        <w:t xml:space="preserve">C) and lipids </w:t>
      </w:r>
      <w:r w:rsidR="001D32FE" w:rsidRPr="00980644">
        <w:t>were</w:t>
      </w:r>
      <w:r w:rsidR="006F0D30" w:rsidRPr="00980644">
        <w:t xml:space="preserve"> dried overnight under high</w:t>
      </w:r>
      <w:r w:rsidR="007250B8" w:rsidRPr="00980644">
        <w:t xml:space="preserve"> </w:t>
      </w:r>
      <w:r w:rsidR="006F0D30" w:rsidRPr="00980644">
        <w:t>vacuum. On the next day, the lipid film was rehydrated with 1 mL of the</w:t>
      </w:r>
      <w:r w:rsidR="007250B8" w:rsidRPr="00980644">
        <w:t xml:space="preserve"> NaCl</w:t>
      </w:r>
      <w:r w:rsidR="006F0D30" w:rsidRPr="00980644">
        <w:t xml:space="preserve"> internal solution corresponding to each assay. Then, the mixture was s</w:t>
      </w:r>
      <w:r w:rsidR="002C16DB" w:rsidRPr="00980644">
        <w:t>h</w:t>
      </w:r>
      <w:r w:rsidR="006F0D30" w:rsidRPr="00980644">
        <w:t>ake</w:t>
      </w:r>
      <w:r w:rsidR="002C16DB" w:rsidRPr="00980644">
        <w:t>n</w:t>
      </w:r>
      <w:r w:rsidR="006F0D30" w:rsidRPr="00980644">
        <w:t xml:space="preserve"> in a vortex </w:t>
      </w:r>
      <w:r w:rsidR="00260C3F" w:rsidRPr="00980644">
        <w:t>and</w:t>
      </w:r>
      <w:r w:rsidRPr="00980644">
        <w:t xml:space="preserve"> </w:t>
      </w:r>
      <w:r w:rsidR="00260C3F" w:rsidRPr="00980644">
        <w:t>subjected</w:t>
      </w:r>
      <w:r w:rsidRPr="00980644">
        <w:t xml:space="preserve"> to seven freeze-thaw cycles (freeze by introducing the flask in a Dewar with liquid nitrogen, and then melting by introducing the flask into warm water</w:t>
      </w:r>
      <w:r w:rsidR="006F0D30" w:rsidRPr="00980644">
        <w:t>). After this process</w:t>
      </w:r>
      <w:r w:rsidR="00260C3F" w:rsidRPr="00980644">
        <w:t xml:space="preserve"> </w:t>
      </w:r>
      <w:r w:rsidR="006F0D30" w:rsidRPr="00980644">
        <w:t xml:space="preserve">the lipid suspension was extruded twenty-nine times through </w:t>
      </w:r>
      <w:r w:rsidR="006D5FD5" w:rsidRPr="00980644">
        <w:t xml:space="preserve">a </w:t>
      </w:r>
      <w:r w:rsidR="006F0D30" w:rsidRPr="00980644">
        <w:t xml:space="preserve">200 nm polycarbonate nucleopore membrane using a LiposoFast Basic extruder (Avestin, Inc.). </w:t>
      </w:r>
      <w:r w:rsidR="000A469F" w:rsidRPr="00980644">
        <w:t>For</w:t>
      </w:r>
      <w:r w:rsidR="006F0D30" w:rsidRPr="00980644">
        <w:t xml:space="preserve"> removing the non-encapsulated </w:t>
      </w:r>
      <w:r w:rsidR="002C16DB" w:rsidRPr="00980644">
        <w:t>chloride</w:t>
      </w:r>
      <w:r w:rsidR="006F0D30" w:rsidRPr="00980644">
        <w:t xml:space="preserve">, the lipid suspension was introduced in a dialysis membrane and the packet was dialysed </w:t>
      </w:r>
      <w:r w:rsidR="007250B8" w:rsidRPr="00980644">
        <w:t>against</w:t>
      </w:r>
      <w:r w:rsidR="006F0D30" w:rsidRPr="00980644">
        <w:t xml:space="preserve"> the </w:t>
      </w:r>
      <w:r w:rsidR="007250B8" w:rsidRPr="00980644">
        <w:t xml:space="preserve">required </w:t>
      </w:r>
      <w:r w:rsidR="006F0D30" w:rsidRPr="00980644">
        <w:t xml:space="preserve">external solution (2 x 500 mL) </w:t>
      </w:r>
      <w:r w:rsidR="00BA67F7" w:rsidRPr="00980644">
        <w:t xml:space="preserve">for </w:t>
      </w:r>
      <w:r w:rsidR="006F0D30" w:rsidRPr="00980644">
        <w:t xml:space="preserve">around 1.5 hours (45 min with each dialysis solution of 500 mL). </w:t>
      </w:r>
      <w:r w:rsidR="00260C3F" w:rsidRPr="00980644">
        <w:t>Finally</w:t>
      </w:r>
      <w:r w:rsidR="006F0D30" w:rsidRPr="00980644">
        <w:t xml:space="preserve">, the dialysed suspension of vesicles was </w:t>
      </w:r>
      <w:r w:rsidR="00260C3F" w:rsidRPr="00980644">
        <w:t>placed in</w:t>
      </w:r>
      <w:r w:rsidR="00BA67F7" w:rsidRPr="00980644">
        <w:t>to</w:t>
      </w:r>
      <w:r w:rsidR="006F0D30" w:rsidRPr="00980644">
        <w:t xml:space="preserve"> </w:t>
      </w:r>
      <w:r w:rsidR="006F0D30" w:rsidRPr="00980644">
        <w:lastRenderedPageBreak/>
        <w:t>a</w:t>
      </w:r>
      <w:r w:rsidR="00BA67F7" w:rsidRPr="00980644">
        <w:t xml:space="preserve"> 10-mL</w:t>
      </w:r>
      <w:r w:rsidR="006F0D30" w:rsidRPr="00980644">
        <w:t xml:space="preserve"> volumetric flask </w:t>
      </w:r>
      <w:r w:rsidR="00260C3F" w:rsidRPr="00980644">
        <w:t>and made up</w:t>
      </w:r>
      <w:r w:rsidR="006F0D30" w:rsidRPr="00980644">
        <w:t xml:space="preserve"> with the </w:t>
      </w:r>
      <w:r w:rsidR="00BA67F7" w:rsidRPr="00980644">
        <w:t xml:space="preserve">corresponding </w:t>
      </w:r>
      <w:r w:rsidR="006F0D30" w:rsidRPr="00980644">
        <w:t xml:space="preserve">external solution to obtain </w:t>
      </w:r>
      <w:r w:rsidR="00260C3F" w:rsidRPr="00980644">
        <w:t xml:space="preserve">the vesicle </w:t>
      </w:r>
      <w:r w:rsidR="002C16DB" w:rsidRPr="00980644">
        <w:t xml:space="preserve">stock </w:t>
      </w:r>
      <w:r w:rsidR="00260C3F" w:rsidRPr="00980644">
        <w:t>suspension</w:t>
      </w:r>
      <w:r w:rsidR="002C16DB" w:rsidRPr="00980644">
        <w:t xml:space="preserve"> </w:t>
      </w:r>
      <w:r w:rsidR="00260C3F" w:rsidRPr="00980644">
        <w:t>used in the assays</w:t>
      </w:r>
      <w:r w:rsidR="006F0D30" w:rsidRPr="00980644">
        <w:t xml:space="preserve"> (7.89 mM for 3 mL of POPC).</w:t>
      </w:r>
    </w:p>
    <w:p w14:paraId="38CC1BF3" w14:textId="3F520BB7" w:rsidR="00E71CDE" w:rsidRPr="00980644" w:rsidRDefault="00E35815" w:rsidP="00AA6A2A">
      <w:pPr>
        <w:spacing w:before="240" w:after="120"/>
        <w:ind w:firstLine="720"/>
        <w:jc w:val="both"/>
      </w:pPr>
      <w:r w:rsidRPr="00980644">
        <w:t>Chloride efflux experiments were performed using</w:t>
      </w:r>
      <w:r w:rsidR="00E824B5" w:rsidRPr="00980644">
        <w:t xml:space="preserve"> </w:t>
      </w:r>
      <w:r w:rsidR="00A419E9" w:rsidRPr="00980644">
        <w:t xml:space="preserve">an </w:t>
      </w:r>
      <w:r w:rsidR="00E824B5" w:rsidRPr="00980644">
        <w:t>Ion</w:t>
      </w:r>
      <w:r w:rsidR="00A419E9" w:rsidRPr="00980644">
        <w:t>-</w:t>
      </w:r>
      <w:r w:rsidR="00E824B5" w:rsidRPr="00980644">
        <w:t xml:space="preserve">Selective Electrode (ISE) </w:t>
      </w:r>
      <w:r w:rsidRPr="00980644">
        <w:t>[</w:t>
      </w:r>
      <w:r w:rsidR="00B20841" w:rsidRPr="00980644">
        <w:t>2</w:t>
      </w:r>
      <w:r w:rsidR="00EE4CA3" w:rsidRPr="00980644">
        <w:t>7</w:t>
      </w:r>
      <w:r w:rsidRPr="00980644">
        <w:t>]</w:t>
      </w:r>
      <w:r w:rsidR="006F0D30" w:rsidRPr="00980644">
        <w:t xml:space="preserve">. </w:t>
      </w:r>
      <w:r w:rsidR="00AA6A2A" w:rsidRPr="00980644">
        <w:t xml:space="preserve">To 5 mL of 0.5 mM POPC suspended in the corresponding external </w:t>
      </w:r>
      <w:r w:rsidR="002C16DB" w:rsidRPr="00980644">
        <w:t>solution</w:t>
      </w:r>
      <w:r w:rsidR="00E824B5" w:rsidRPr="00980644">
        <w:t xml:space="preserve">, </w:t>
      </w:r>
      <w:r w:rsidR="00AA6A2A" w:rsidRPr="00980644">
        <w:t>an aliquot of the corresponding anionophore in DMSO was added to the experiment (the volume of DMSO was always less than 20 μL). T</w:t>
      </w:r>
      <w:r w:rsidR="000C0269" w:rsidRPr="00980644">
        <w:t xml:space="preserve">he chloride efflux </w:t>
      </w:r>
      <w:r w:rsidR="00AA6A2A" w:rsidRPr="00980644">
        <w:t>from</w:t>
      </w:r>
      <w:r w:rsidR="000C0269" w:rsidRPr="00980644">
        <w:t xml:space="preserve"> the vesicles was monitored over time using a chloride</w:t>
      </w:r>
      <w:r w:rsidR="00A419E9" w:rsidRPr="00980644">
        <w:t>-</w:t>
      </w:r>
      <w:r w:rsidR="000C0269" w:rsidRPr="00980644">
        <w:t xml:space="preserve">selective electrode. </w:t>
      </w:r>
      <w:r w:rsidR="005A7DD8" w:rsidRPr="00980644">
        <w:t xml:space="preserve">For </w:t>
      </w:r>
      <w:bookmarkStart w:id="5" w:name="_Hlk104377852"/>
      <w:r w:rsidR="005A7DD8" w:rsidRPr="00980644">
        <w:rPr>
          <w:bCs/>
          <w:iCs/>
        </w:rPr>
        <w:t>NO</w:t>
      </w:r>
      <w:r w:rsidR="005A7DD8" w:rsidRPr="00980644">
        <w:rPr>
          <w:bCs/>
          <w:iCs/>
          <w:vertAlign w:val="subscript"/>
        </w:rPr>
        <w:t>3</w:t>
      </w:r>
      <w:r w:rsidR="00591F50" w:rsidRPr="00980644">
        <w:rPr>
          <w:vertAlign w:val="superscript"/>
        </w:rPr>
        <w:t>–</w:t>
      </w:r>
      <w:r w:rsidR="00591F50" w:rsidRPr="00980644">
        <w:rPr>
          <w:bCs/>
          <w:iCs/>
        </w:rPr>
        <w:t>/</w:t>
      </w:r>
      <w:r w:rsidR="005A7DD8" w:rsidRPr="00980644">
        <w:rPr>
          <w:bCs/>
          <w:iCs/>
        </w:rPr>
        <w:t>Cl</w:t>
      </w:r>
      <w:r w:rsidR="00591F50" w:rsidRPr="00980644">
        <w:rPr>
          <w:vertAlign w:val="superscript"/>
        </w:rPr>
        <w:t>–</w:t>
      </w:r>
      <w:r w:rsidR="005A7DD8" w:rsidRPr="00980644">
        <w:rPr>
          <w:b/>
          <w:bCs/>
          <w:i/>
          <w:iCs/>
        </w:rPr>
        <w:t xml:space="preserve"> </w:t>
      </w:r>
      <w:bookmarkEnd w:id="5"/>
      <w:r w:rsidR="002C16DB" w:rsidRPr="00980644">
        <w:t xml:space="preserve">exchange experiments, </w:t>
      </w:r>
      <w:r w:rsidR="005A7DD8" w:rsidRPr="00980644">
        <w:t>the intravesicular solution</w:t>
      </w:r>
      <w:r w:rsidR="00E71CDE" w:rsidRPr="00980644">
        <w:t xml:space="preserve"> </w:t>
      </w:r>
      <w:r w:rsidR="005A7DD8" w:rsidRPr="00980644">
        <w:t>contain</w:t>
      </w:r>
      <w:r w:rsidR="00AA6A2A" w:rsidRPr="00980644">
        <w:t>ed</w:t>
      </w:r>
      <w:r w:rsidR="005A7DD8" w:rsidRPr="00980644">
        <w:t xml:space="preserve"> 489 mM NaCl, </w:t>
      </w:r>
      <w:r w:rsidR="00FF2A0E" w:rsidRPr="00980644">
        <w:t xml:space="preserve">5 mM </w:t>
      </w:r>
      <w:r w:rsidR="005A7DD8" w:rsidRPr="00980644">
        <w:t>NaH</w:t>
      </w:r>
      <w:r w:rsidR="005A7DD8" w:rsidRPr="00980644">
        <w:rPr>
          <w:vertAlign w:val="subscript"/>
        </w:rPr>
        <w:t>2</w:t>
      </w:r>
      <w:r w:rsidR="005A7DD8" w:rsidRPr="00980644">
        <w:t>PO</w:t>
      </w:r>
      <w:r w:rsidR="005A7DD8" w:rsidRPr="00980644">
        <w:rPr>
          <w:vertAlign w:val="subscript"/>
        </w:rPr>
        <w:t>4</w:t>
      </w:r>
      <w:r w:rsidR="005A7DD8" w:rsidRPr="00980644">
        <w:t>, pH 7.2</w:t>
      </w:r>
      <w:r w:rsidR="00A419E9" w:rsidRPr="00980644">
        <w:t xml:space="preserve"> (I. S. 500 mM)</w:t>
      </w:r>
      <w:r w:rsidR="00FF2A0E" w:rsidRPr="00980644">
        <w:t>,</w:t>
      </w:r>
      <w:r w:rsidR="005A7DD8" w:rsidRPr="00980644">
        <w:t xml:space="preserve"> </w:t>
      </w:r>
      <w:r w:rsidR="00FF2A0E" w:rsidRPr="00980644">
        <w:t>whereas</w:t>
      </w:r>
      <w:r w:rsidR="005A7DD8" w:rsidRPr="00980644">
        <w:t xml:space="preserve"> the extravesicular solution </w:t>
      </w:r>
      <w:r w:rsidR="00A419E9" w:rsidRPr="00980644">
        <w:t>was</w:t>
      </w:r>
      <w:r w:rsidR="00E824B5" w:rsidRPr="00980644">
        <w:t xml:space="preserve"> </w:t>
      </w:r>
      <w:r w:rsidR="00AA6A2A" w:rsidRPr="00980644">
        <w:t>composed</w:t>
      </w:r>
      <w:r w:rsidR="00E824B5" w:rsidRPr="00980644">
        <w:t xml:space="preserve"> </w:t>
      </w:r>
      <w:r w:rsidR="00FF2A0E" w:rsidRPr="00980644">
        <w:t>of</w:t>
      </w:r>
      <w:r w:rsidR="005A7DD8" w:rsidRPr="00980644">
        <w:t xml:space="preserve"> 489 mM NaNO</w:t>
      </w:r>
      <w:r w:rsidR="005A7DD8" w:rsidRPr="00980644">
        <w:rPr>
          <w:vertAlign w:val="subscript"/>
        </w:rPr>
        <w:t>3</w:t>
      </w:r>
      <w:r w:rsidR="005A7DD8" w:rsidRPr="00980644">
        <w:t xml:space="preserve">, </w:t>
      </w:r>
      <w:r w:rsidR="00FF2A0E" w:rsidRPr="00980644">
        <w:t xml:space="preserve">5 mM </w:t>
      </w:r>
      <w:r w:rsidR="005A7DD8" w:rsidRPr="00980644">
        <w:t>NaH</w:t>
      </w:r>
      <w:r w:rsidR="005A7DD8" w:rsidRPr="00980644">
        <w:rPr>
          <w:vertAlign w:val="subscript"/>
        </w:rPr>
        <w:t>2</w:t>
      </w:r>
      <w:r w:rsidR="005A7DD8" w:rsidRPr="00980644">
        <w:t>PO</w:t>
      </w:r>
      <w:r w:rsidR="005A7DD8" w:rsidRPr="00980644">
        <w:rPr>
          <w:vertAlign w:val="subscript"/>
        </w:rPr>
        <w:t>4</w:t>
      </w:r>
      <w:r w:rsidR="005A7DD8" w:rsidRPr="00980644">
        <w:t>, pH 7.2</w:t>
      </w:r>
      <w:r w:rsidR="00A419E9" w:rsidRPr="00980644">
        <w:t xml:space="preserve"> (I. S. 500 mM)</w:t>
      </w:r>
      <w:r w:rsidR="005A7DD8" w:rsidRPr="00980644">
        <w:t xml:space="preserve">. </w:t>
      </w:r>
      <w:r w:rsidR="00E71CDE" w:rsidRPr="00980644">
        <w:t>In these assays</w:t>
      </w:r>
      <w:r w:rsidR="00904A38" w:rsidRPr="00980644">
        <w:t>,</w:t>
      </w:r>
      <w:r w:rsidR="00E71CDE" w:rsidRPr="00980644">
        <w:t xml:space="preserve"> </w:t>
      </w:r>
      <w:r w:rsidR="00904A38" w:rsidRPr="00980644">
        <w:t xml:space="preserve">at </w:t>
      </w:r>
      <w:r w:rsidR="00E824B5" w:rsidRPr="00980644">
        <w:t>t =</w:t>
      </w:r>
      <w:r w:rsidR="005A7DD8" w:rsidRPr="00980644">
        <w:t xml:space="preserve"> 0 s the carrier was added to the experiment and its activity was re</w:t>
      </w:r>
      <w:r w:rsidR="00904A38" w:rsidRPr="00980644">
        <w:t>corded</w:t>
      </w:r>
      <w:r w:rsidR="005A7DD8" w:rsidRPr="00980644">
        <w:t xml:space="preserve"> with the chloride</w:t>
      </w:r>
      <w:r w:rsidR="00EB57F9" w:rsidRPr="00980644">
        <w:t>-</w:t>
      </w:r>
      <w:r w:rsidR="005A7DD8" w:rsidRPr="00980644">
        <w:t xml:space="preserve">selective electrode. </w:t>
      </w:r>
      <w:r w:rsidR="00E824B5" w:rsidRPr="00980644">
        <w:t>A</w:t>
      </w:r>
      <w:r w:rsidR="005A7DD8" w:rsidRPr="00980644">
        <w:t xml:space="preserve">t </w:t>
      </w:r>
      <w:r w:rsidR="00E824B5" w:rsidRPr="00980644">
        <w:t>the end of the experiment (</w:t>
      </w:r>
      <w:r w:rsidR="005A7DD8" w:rsidRPr="00980644">
        <w:t>t = 300 s</w:t>
      </w:r>
      <w:r w:rsidR="00E824B5" w:rsidRPr="00980644">
        <w:t>)</w:t>
      </w:r>
      <w:r w:rsidR="00C20F9D" w:rsidRPr="00980644">
        <w:t>,</w:t>
      </w:r>
      <w:r w:rsidR="005A7DD8" w:rsidRPr="00980644">
        <w:t xml:space="preserve"> an aliquot of detergent was added to lyse the vesicles and </w:t>
      </w:r>
      <w:r w:rsidR="00904A38" w:rsidRPr="00980644">
        <w:t>release</w:t>
      </w:r>
      <w:r w:rsidR="005A7DD8" w:rsidRPr="00980644">
        <w:t xml:space="preserve"> </w:t>
      </w:r>
      <w:r w:rsidR="002C16DB" w:rsidRPr="00980644">
        <w:t>all</w:t>
      </w:r>
      <w:r w:rsidR="005A7DD8" w:rsidRPr="00980644">
        <w:t xml:space="preserve"> the </w:t>
      </w:r>
      <w:r w:rsidR="002C16DB" w:rsidRPr="00980644">
        <w:t xml:space="preserve">encapsulated </w:t>
      </w:r>
      <w:r w:rsidR="005A7DD8" w:rsidRPr="00980644">
        <w:t>chloride</w:t>
      </w:r>
      <w:r w:rsidR="00904A38" w:rsidRPr="00980644">
        <w:t>; this value was subsequently used to normalise the data.</w:t>
      </w:r>
      <w:r w:rsidR="00E71CDE" w:rsidRPr="00980644">
        <w:t xml:space="preserve"> </w:t>
      </w:r>
      <w:r w:rsidR="00AA6A2A" w:rsidRPr="00980644">
        <w:t>For</w:t>
      </w:r>
      <w:r w:rsidR="00E71CDE" w:rsidRPr="00980644">
        <w:t xml:space="preserve"> </w:t>
      </w:r>
      <w:r w:rsidR="00E71CDE" w:rsidRPr="00980644">
        <w:rPr>
          <w:bCs/>
          <w:iCs/>
        </w:rPr>
        <w:t>H</w:t>
      </w:r>
      <w:r w:rsidR="005A7DD8" w:rsidRPr="00980644">
        <w:rPr>
          <w:bCs/>
          <w:iCs/>
        </w:rPr>
        <w:t>CO</w:t>
      </w:r>
      <w:r w:rsidR="005A7DD8" w:rsidRPr="00980644">
        <w:rPr>
          <w:bCs/>
          <w:iCs/>
          <w:vertAlign w:val="subscript"/>
        </w:rPr>
        <w:t>3</w:t>
      </w:r>
      <w:r w:rsidR="00591F50" w:rsidRPr="00980644">
        <w:rPr>
          <w:vertAlign w:val="superscript"/>
        </w:rPr>
        <w:t>–</w:t>
      </w:r>
      <w:r w:rsidR="005A7DD8" w:rsidRPr="00980644">
        <w:rPr>
          <w:bCs/>
          <w:iCs/>
        </w:rPr>
        <w:t>/Cl</w:t>
      </w:r>
      <w:r w:rsidR="00591F50" w:rsidRPr="00980644">
        <w:rPr>
          <w:vertAlign w:val="superscript"/>
        </w:rPr>
        <w:t>–</w:t>
      </w:r>
      <w:r w:rsidR="005A7DD8" w:rsidRPr="00980644">
        <w:rPr>
          <w:b/>
          <w:bCs/>
          <w:i/>
          <w:iCs/>
        </w:rPr>
        <w:t xml:space="preserve"> </w:t>
      </w:r>
      <w:r w:rsidR="002C16DB" w:rsidRPr="00980644">
        <w:t xml:space="preserve">exchange assays </w:t>
      </w:r>
      <w:r w:rsidR="00E71CDE" w:rsidRPr="00980644">
        <w:t>vesicles</w:t>
      </w:r>
      <w:r w:rsidR="00840889" w:rsidRPr="00980644">
        <w:t>, which</w:t>
      </w:r>
      <w:r w:rsidR="00E71CDE" w:rsidRPr="00980644">
        <w:t xml:space="preserve"> contain</w:t>
      </w:r>
      <w:r w:rsidR="00AA6A2A" w:rsidRPr="00980644">
        <w:t>ed</w:t>
      </w:r>
      <w:r w:rsidR="00E71CDE" w:rsidRPr="00980644">
        <w:t xml:space="preserve"> a solution of </w:t>
      </w:r>
      <w:r w:rsidR="005A7DD8" w:rsidRPr="00980644">
        <w:t>451 mM NaCl</w:t>
      </w:r>
      <w:r w:rsidR="00EB57F9" w:rsidRPr="00980644">
        <w:t>,</w:t>
      </w:r>
      <w:r w:rsidR="005A7DD8" w:rsidRPr="00980644">
        <w:t xml:space="preserve"> </w:t>
      </w:r>
      <w:r w:rsidR="00840889" w:rsidRPr="00980644">
        <w:t xml:space="preserve">20 mM </w:t>
      </w:r>
      <w:r w:rsidR="005A7DD8" w:rsidRPr="00980644">
        <w:t>NaH</w:t>
      </w:r>
      <w:r w:rsidR="005A7DD8" w:rsidRPr="00980644">
        <w:rPr>
          <w:vertAlign w:val="subscript"/>
        </w:rPr>
        <w:t>2</w:t>
      </w:r>
      <w:r w:rsidR="005A7DD8" w:rsidRPr="00980644">
        <w:t>PO</w:t>
      </w:r>
      <w:r w:rsidR="005A7DD8" w:rsidRPr="00980644">
        <w:rPr>
          <w:vertAlign w:val="subscript"/>
        </w:rPr>
        <w:t>4</w:t>
      </w:r>
      <w:r w:rsidR="005A7DD8" w:rsidRPr="00980644">
        <w:t>, pH 7.2</w:t>
      </w:r>
      <w:r w:rsidR="00EB57F9" w:rsidRPr="00980644">
        <w:t xml:space="preserve"> (I. S. 500 mM)</w:t>
      </w:r>
      <w:r w:rsidR="00E71CDE" w:rsidRPr="00980644">
        <w:t xml:space="preserve">, </w:t>
      </w:r>
      <w:r w:rsidR="00AA6A2A" w:rsidRPr="00980644">
        <w:t>we</w:t>
      </w:r>
      <w:r w:rsidR="00E71CDE" w:rsidRPr="00980644">
        <w:t>re suspended in an extravesicular solution</w:t>
      </w:r>
      <w:r w:rsidR="00B032A7" w:rsidRPr="00980644">
        <w:t xml:space="preserve"> made</w:t>
      </w:r>
      <w:r w:rsidR="00E71CDE" w:rsidRPr="00980644">
        <w:t xml:space="preserve"> of </w:t>
      </w:r>
      <w:r w:rsidR="005A7DD8" w:rsidRPr="00980644">
        <w:t>150 mM Na</w:t>
      </w:r>
      <w:r w:rsidR="005A7DD8" w:rsidRPr="00980644">
        <w:rPr>
          <w:vertAlign w:val="subscript"/>
        </w:rPr>
        <w:t>2</w:t>
      </w:r>
      <w:r w:rsidR="005A7DD8" w:rsidRPr="00980644">
        <w:t>SO</w:t>
      </w:r>
      <w:r w:rsidR="005A7DD8" w:rsidRPr="00980644">
        <w:rPr>
          <w:vertAlign w:val="subscript"/>
        </w:rPr>
        <w:t>4</w:t>
      </w:r>
      <w:r w:rsidR="005A7DD8" w:rsidRPr="00980644">
        <w:t xml:space="preserve">, </w:t>
      </w:r>
      <w:r w:rsidR="00840889" w:rsidRPr="00980644">
        <w:t xml:space="preserve">20 mM </w:t>
      </w:r>
      <w:r w:rsidR="005A7DD8" w:rsidRPr="00980644">
        <w:t>NaH</w:t>
      </w:r>
      <w:r w:rsidR="005A7DD8" w:rsidRPr="00980644">
        <w:rPr>
          <w:vertAlign w:val="subscript"/>
        </w:rPr>
        <w:t>2</w:t>
      </w:r>
      <w:r w:rsidR="005A7DD8" w:rsidRPr="00980644">
        <w:t>PO</w:t>
      </w:r>
      <w:r w:rsidR="005A7DD8" w:rsidRPr="00980644">
        <w:rPr>
          <w:vertAlign w:val="subscript"/>
        </w:rPr>
        <w:t>4</w:t>
      </w:r>
      <w:r w:rsidR="005A7DD8" w:rsidRPr="00980644">
        <w:t>, pH 7.2</w:t>
      </w:r>
      <w:r w:rsidR="00EB57F9" w:rsidRPr="00980644">
        <w:t xml:space="preserve"> (I. S. 500 mM)</w:t>
      </w:r>
      <w:r w:rsidR="005A7DD8" w:rsidRPr="00980644">
        <w:t>.</w:t>
      </w:r>
      <w:r w:rsidR="00E71CDE" w:rsidRPr="00980644">
        <w:t xml:space="preserve"> In these </w:t>
      </w:r>
      <w:r w:rsidR="00EB57F9" w:rsidRPr="00980644">
        <w:t>experiments,</w:t>
      </w:r>
      <w:r w:rsidR="00E71CDE" w:rsidRPr="00980644">
        <w:t xml:space="preserve"> </w:t>
      </w:r>
      <w:r w:rsidR="00EB57F9" w:rsidRPr="00980644">
        <w:t>at t = -10 s a pulse of a</w:t>
      </w:r>
      <w:r w:rsidR="00E71CDE" w:rsidRPr="00980644">
        <w:t xml:space="preserve"> HCO</w:t>
      </w:r>
      <w:r w:rsidR="00E71CDE" w:rsidRPr="00980644">
        <w:rPr>
          <w:vertAlign w:val="subscript"/>
        </w:rPr>
        <w:t>3</w:t>
      </w:r>
      <w:r w:rsidR="006D5FD5" w:rsidRPr="00980644">
        <w:rPr>
          <w:vertAlign w:val="superscript"/>
        </w:rPr>
        <w:t>–</w:t>
      </w:r>
      <w:r w:rsidR="00E71CDE" w:rsidRPr="00980644">
        <w:t xml:space="preserve"> solution (40 mM </w:t>
      </w:r>
      <w:r w:rsidR="006D5FD5" w:rsidRPr="00980644">
        <w:t>HCO</w:t>
      </w:r>
      <w:r w:rsidR="006D5FD5" w:rsidRPr="00980644">
        <w:rPr>
          <w:vertAlign w:val="subscript"/>
        </w:rPr>
        <w:t>3</w:t>
      </w:r>
      <w:r w:rsidR="006D5FD5" w:rsidRPr="00980644">
        <w:rPr>
          <w:vertAlign w:val="superscript"/>
        </w:rPr>
        <w:t>–</w:t>
      </w:r>
      <w:r w:rsidR="00E71CDE" w:rsidRPr="00980644">
        <w:t>, 150 mM Na</w:t>
      </w:r>
      <w:r w:rsidR="00E71CDE" w:rsidRPr="00980644">
        <w:rPr>
          <w:vertAlign w:val="subscript"/>
        </w:rPr>
        <w:t>2</w:t>
      </w:r>
      <w:r w:rsidR="00E71CDE" w:rsidRPr="00980644">
        <w:t>SO</w:t>
      </w:r>
      <w:r w:rsidR="00E71CDE" w:rsidRPr="00980644">
        <w:rPr>
          <w:vertAlign w:val="subscript"/>
        </w:rPr>
        <w:t>4</w:t>
      </w:r>
      <w:r w:rsidR="00E71CDE" w:rsidRPr="00980644">
        <w:t xml:space="preserve">, </w:t>
      </w:r>
      <w:r w:rsidR="00840889" w:rsidRPr="00980644">
        <w:t xml:space="preserve">20 mM </w:t>
      </w:r>
      <w:r w:rsidR="00E71CDE" w:rsidRPr="00980644">
        <w:t>NaH</w:t>
      </w:r>
      <w:r w:rsidR="00E71CDE" w:rsidRPr="00980644">
        <w:rPr>
          <w:vertAlign w:val="subscript"/>
        </w:rPr>
        <w:t>2</w:t>
      </w:r>
      <w:r w:rsidR="00E71CDE" w:rsidRPr="00980644">
        <w:t>PO</w:t>
      </w:r>
      <w:r w:rsidR="00E71CDE" w:rsidRPr="00980644">
        <w:rPr>
          <w:vertAlign w:val="subscript"/>
        </w:rPr>
        <w:t>4</w:t>
      </w:r>
      <w:r w:rsidR="00E71CDE" w:rsidRPr="00980644">
        <w:t>, pH 7.2)</w:t>
      </w:r>
      <w:r w:rsidR="00EB57F9" w:rsidRPr="00980644">
        <w:t xml:space="preserve"> was added, followed by the compound (t = 0 s)</w:t>
      </w:r>
      <w:r w:rsidR="00E71CDE" w:rsidRPr="00980644">
        <w:t xml:space="preserve">. </w:t>
      </w:r>
      <w:r w:rsidR="00C20F9D" w:rsidRPr="00980644">
        <w:t>Finally, a</w:t>
      </w:r>
      <w:r w:rsidR="00E71CDE" w:rsidRPr="00980644">
        <w:t>t t = 300 s an aliquot of</w:t>
      </w:r>
      <w:r w:rsidR="00EB57F9" w:rsidRPr="00980644">
        <w:t xml:space="preserve"> a</w:t>
      </w:r>
      <w:r w:rsidR="00E71CDE" w:rsidRPr="00980644">
        <w:t xml:space="preserve"> detergent was added to the experiment to lyse the vesicles </w:t>
      </w:r>
      <w:r w:rsidR="00AE6E69" w:rsidRPr="00980644">
        <w:t>and release all the entrapped chloride.</w:t>
      </w:r>
    </w:p>
    <w:p w14:paraId="45F0AB90" w14:textId="77777777" w:rsidR="002862FA" w:rsidRPr="00980644" w:rsidRDefault="002862FA" w:rsidP="002862FA">
      <w:pPr>
        <w:pStyle w:val="Ttulo1"/>
      </w:pPr>
      <w:r w:rsidRPr="00980644">
        <w:t>3. Results and discussion</w:t>
      </w:r>
    </w:p>
    <w:p w14:paraId="3CF2A02F" w14:textId="77777777" w:rsidR="002862FA" w:rsidRPr="00980644" w:rsidRDefault="00CD0B7B" w:rsidP="002862FA">
      <w:pPr>
        <w:pStyle w:val="Ttulo2"/>
      </w:pPr>
      <w:r w:rsidRPr="00980644">
        <w:t>Synthesis of compounds</w:t>
      </w:r>
    </w:p>
    <w:p w14:paraId="42F801FE" w14:textId="77777777" w:rsidR="002862FA" w:rsidRPr="00980644" w:rsidRDefault="002862FA" w:rsidP="002862FA">
      <w:pPr>
        <w:pStyle w:val="Newparagraph"/>
        <w:ind w:firstLine="0"/>
      </w:pPr>
    </w:p>
    <w:p w14:paraId="3F713BB9" w14:textId="28B575CA" w:rsidR="006A3CF7" w:rsidRPr="00980644" w:rsidRDefault="00CD0B7B" w:rsidP="00861220">
      <w:pPr>
        <w:pStyle w:val="Newparagraph"/>
        <w:jc w:val="both"/>
      </w:pPr>
      <w:r w:rsidRPr="00980644">
        <w:lastRenderedPageBreak/>
        <w:t>Prodiginines are characterized by a dipyrrolyldipyrromethene structure</w:t>
      </w:r>
      <w:r w:rsidR="00BA478A" w:rsidRPr="00980644">
        <w:t>,</w:t>
      </w:r>
      <w:r w:rsidRPr="00980644">
        <w:t xml:space="preserve"> whereas </w:t>
      </w:r>
      <w:r w:rsidR="00BA478A" w:rsidRPr="00980644">
        <w:t xml:space="preserve">in roseophilin </w:t>
      </w:r>
      <w:r w:rsidRPr="00980644">
        <w:t>the azafulvene moiety is replaced by a methoxyfuran</w:t>
      </w:r>
      <w:r w:rsidR="00BA478A" w:rsidRPr="00980644">
        <w:t xml:space="preserve"> ring</w:t>
      </w:r>
      <w:r w:rsidRPr="00980644">
        <w:t xml:space="preserve"> </w:t>
      </w:r>
      <w:r w:rsidR="00562FCB" w:rsidRPr="00980644">
        <w:t>(</w:t>
      </w:r>
      <w:r w:rsidR="00AA6A2A" w:rsidRPr="00980644">
        <w:t>Figure 1</w:t>
      </w:r>
      <w:r w:rsidR="00562FCB" w:rsidRPr="00980644">
        <w:t>)</w:t>
      </w:r>
      <w:r w:rsidRPr="00980644">
        <w:t xml:space="preserve">. </w:t>
      </w:r>
      <w:r w:rsidR="00861220" w:rsidRPr="00980644">
        <w:t>Aiming to evaluate the impact of this major structural change in the anion transport properties of this compound prompt</w:t>
      </w:r>
      <w:r w:rsidR="00117667" w:rsidRPr="00980644">
        <w:t>ed</w:t>
      </w:r>
      <w:r w:rsidR="00861220" w:rsidRPr="00980644">
        <w:t xml:space="preserve"> us to design compound </w:t>
      </w:r>
      <w:r w:rsidR="00861220" w:rsidRPr="00980644">
        <w:rPr>
          <w:b/>
        </w:rPr>
        <w:t>1</w:t>
      </w:r>
      <w:r w:rsidR="00861220" w:rsidRPr="00980644">
        <w:t xml:space="preserve">. </w:t>
      </w:r>
      <w:r w:rsidR="001F17B6" w:rsidRPr="00980644">
        <w:t>For comparison purposes, the furanyl</w:t>
      </w:r>
      <w:r w:rsidR="00A43E94" w:rsidRPr="00980644">
        <w:t>-</w:t>
      </w:r>
      <w:r w:rsidR="001F17B6" w:rsidRPr="00980644">
        <w:t xml:space="preserve">pyrrolo </w:t>
      </w:r>
      <w:r w:rsidR="00486932" w:rsidRPr="00980644">
        <w:t>prodiginine</w:t>
      </w:r>
      <w:r w:rsidR="001F17B6" w:rsidRPr="00980644">
        <w:t xml:space="preserve"> </w:t>
      </w:r>
      <w:r w:rsidR="001F17B6" w:rsidRPr="00980644">
        <w:rPr>
          <w:b/>
        </w:rPr>
        <w:t xml:space="preserve">2 </w:t>
      </w:r>
      <w:r w:rsidR="001F17B6" w:rsidRPr="00980644">
        <w:t xml:space="preserve">was also </w:t>
      </w:r>
      <w:r w:rsidR="00861220" w:rsidRPr="00980644">
        <w:t>targeted</w:t>
      </w:r>
      <w:r w:rsidR="001F17B6" w:rsidRPr="00980644">
        <w:t xml:space="preserve">. The synthesis of these compounds is presented in </w:t>
      </w:r>
      <w:r w:rsidR="003B4576" w:rsidRPr="00980644">
        <w:t>S</w:t>
      </w:r>
      <w:r w:rsidR="001F17B6" w:rsidRPr="00980644">
        <w:t xml:space="preserve">cheme 1. </w:t>
      </w:r>
      <w:r w:rsidR="00850F2A" w:rsidRPr="00980644">
        <w:t xml:space="preserve">The </w:t>
      </w:r>
      <w:r w:rsidR="00861220" w:rsidRPr="00980644">
        <w:t>p</w:t>
      </w:r>
      <w:r w:rsidR="003D415A" w:rsidRPr="00980644">
        <w:t xml:space="preserve">yrrolyl-furan-2-carbaldehyde </w:t>
      </w:r>
      <w:r w:rsidR="001F17B6" w:rsidRPr="00980644">
        <w:rPr>
          <w:b/>
        </w:rPr>
        <w:t xml:space="preserve">4 </w:t>
      </w:r>
      <w:r w:rsidR="00CE4BD4" w:rsidRPr="00980644">
        <w:t xml:space="preserve">precursor </w:t>
      </w:r>
      <w:r w:rsidR="003D415A" w:rsidRPr="00980644">
        <w:t xml:space="preserve">has been previously described by Challis </w:t>
      </w:r>
      <w:r w:rsidR="00AA6A2A" w:rsidRPr="00980644">
        <w:t>[</w:t>
      </w:r>
      <w:r w:rsidR="004339F8" w:rsidRPr="00980644">
        <w:t>24</w:t>
      </w:r>
      <w:r w:rsidR="00AA6A2A" w:rsidRPr="00980644">
        <w:t xml:space="preserve">]. </w:t>
      </w:r>
      <w:r w:rsidR="00861220" w:rsidRPr="00980644">
        <w:t xml:space="preserve">We used a slightly modified procedure to prepare furan-2-carbaldehyde </w:t>
      </w:r>
      <w:r w:rsidR="00861220" w:rsidRPr="00980644">
        <w:rPr>
          <w:b/>
        </w:rPr>
        <w:t>6</w:t>
      </w:r>
      <w:r w:rsidR="00861220" w:rsidRPr="00980644">
        <w:t xml:space="preserve"> using chloroform as solvent, in </w:t>
      </w:r>
      <w:r w:rsidR="00CE4BD4" w:rsidRPr="00980644">
        <w:t xml:space="preserve">the </w:t>
      </w:r>
      <w:r w:rsidR="00861220" w:rsidRPr="00980644">
        <w:t xml:space="preserve">presence of an excess of phosphorous oxybromide. A Suzuki-Miyaura </w:t>
      </w:r>
      <w:r w:rsidR="00A43E94" w:rsidRPr="00980644">
        <w:t xml:space="preserve">coupling </w:t>
      </w:r>
      <w:r w:rsidR="00861220" w:rsidRPr="00980644">
        <w:t xml:space="preserve">reaction with </w:t>
      </w:r>
      <w:r w:rsidR="00556390" w:rsidRPr="00980644">
        <w:rPr>
          <w:i/>
          <w:iCs/>
        </w:rPr>
        <w:t>N-tert-</w:t>
      </w:r>
      <w:r w:rsidR="00556390" w:rsidRPr="00980644">
        <w:t>butoxycarbonyl-2-pyrroleboronic acid</w:t>
      </w:r>
      <w:r w:rsidR="00861220" w:rsidRPr="00980644">
        <w:t>, using Pd(PPh</w:t>
      </w:r>
      <w:r w:rsidR="00861220" w:rsidRPr="00980644">
        <w:rPr>
          <w:vertAlign w:val="subscript"/>
        </w:rPr>
        <w:t>3</w:t>
      </w:r>
      <w:r w:rsidR="00861220" w:rsidRPr="00980644">
        <w:t>)</w:t>
      </w:r>
      <w:r w:rsidR="00861220" w:rsidRPr="00980644">
        <w:rPr>
          <w:vertAlign w:val="subscript"/>
        </w:rPr>
        <w:t>4</w:t>
      </w:r>
      <w:r w:rsidR="00861220" w:rsidRPr="00980644">
        <w:t xml:space="preserve"> as catalyst and Na</w:t>
      </w:r>
      <w:r w:rsidR="00861220" w:rsidRPr="00980644">
        <w:rPr>
          <w:vertAlign w:val="subscript"/>
        </w:rPr>
        <w:t>2</w:t>
      </w:r>
      <w:r w:rsidR="00861220" w:rsidRPr="00980644">
        <w:t>CO</w:t>
      </w:r>
      <w:r w:rsidR="00861220" w:rsidRPr="00980644">
        <w:rPr>
          <w:vertAlign w:val="subscript"/>
        </w:rPr>
        <w:t>3</w:t>
      </w:r>
      <w:r w:rsidR="00861220" w:rsidRPr="00980644">
        <w:t xml:space="preserve"> as base</w:t>
      </w:r>
      <w:r w:rsidR="00CE4BD4" w:rsidRPr="00980644">
        <w:t>,</w:t>
      </w:r>
      <w:r w:rsidR="00861220" w:rsidRPr="00980644">
        <w:t xml:space="preserve"> yield</w:t>
      </w:r>
      <w:r w:rsidR="00CE4BD4" w:rsidRPr="00980644">
        <w:t>ed</w:t>
      </w:r>
      <w:r w:rsidR="00861220" w:rsidRPr="00980644">
        <w:t xml:space="preserve"> compound </w:t>
      </w:r>
      <w:r w:rsidR="00A43E94" w:rsidRPr="00980644">
        <w:rPr>
          <w:b/>
        </w:rPr>
        <w:t>5</w:t>
      </w:r>
      <w:r w:rsidR="00861220" w:rsidRPr="00980644">
        <w:t xml:space="preserve">. Finally, base-promoted hydrolysis with lithium hydroxide was used to remove the Boc </w:t>
      </w:r>
      <w:r w:rsidR="00A43E94" w:rsidRPr="00980644">
        <w:t xml:space="preserve">protecting </w:t>
      </w:r>
      <w:r w:rsidR="00861220" w:rsidRPr="00980644">
        <w:t>group</w:t>
      </w:r>
      <w:r w:rsidR="00CE4BD4" w:rsidRPr="00980644">
        <w:t>, affording</w:t>
      </w:r>
      <w:r w:rsidR="00861220" w:rsidRPr="00980644">
        <w:t xml:space="preserve"> pyrrolyl-</w:t>
      </w:r>
      <w:r w:rsidR="0063714D" w:rsidRPr="00980644">
        <w:t>furan</w:t>
      </w:r>
      <w:r w:rsidR="00861220" w:rsidRPr="00980644">
        <w:t xml:space="preserve"> aldehyde </w:t>
      </w:r>
      <w:r w:rsidR="00861220" w:rsidRPr="00980644">
        <w:rPr>
          <w:b/>
        </w:rPr>
        <w:t>4</w:t>
      </w:r>
      <w:r w:rsidR="00861220" w:rsidRPr="00980644">
        <w:t xml:space="preserve">. Condensation of </w:t>
      </w:r>
      <w:r w:rsidR="00861220" w:rsidRPr="00980644">
        <w:rPr>
          <w:b/>
        </w:rPr>
        <w:t xml:space="preserve">4 </w:t>
      </w:r>
      <w:r w:rsidR="00861220" w:rsidRPr="00980644">
        <w:t>and</w:t>
      </w:r>
      <w:r w:rsidR="00861220" w:rsidRPr="00980644">
        <w:rPr>
          <w:b/>
        </w:rPr>
        <w:t xml:space="preserve"> </w:t>
      </w:r>
      <w:r w:rsidR="00861220" w:rsidRPr="00980644">
        <w:t xml:space="preserve">2,4-dimethylpyrrole, using a hydrochloric acid </w:t>
      </w:r>
      <w:r w:rsidR="00A43E94" w:rsidRPr="00980644">
        <w:t xml:space="preserve">solution </w:t>
      </w:r>
      <w:r w:rsidR="00861220" w:rsidRPr="00980644">
        <w:t xml:space="preserve">as catalyst, </w:t>
      </w:r>
      <w:r w:rsidR="00BA478A" w:rsidRPr="00980644">
        <w:t>provided</w:t>
      </w:r>
      <w:r w:rsidR="00861220" w:rsidRPr="00980644">
        <w:t xml:space="preserve"> roseophilin analog</w:t>
      </w:r>
      <w:r w:rsidR="009D5D4E" w:rsidRPr="00980644">
        <w:t>ue</w:t>
      </w:r>
      <w:r w:rsidR="00861220" w:rsidRPr="00980644">
        <w:t xml:space="preserve"> </w:t>
      </w:r>
      <w:r w:rsidR="00861220" w:rsidRPr="00980644">
        <w:rPr>
          <w:b/>
        </w:rPr>
        <w:t>1</w:t>
      </w:r>
      <w:r w:rsidR="00980644" w:rsidRPr="00980644">
        <w:rPr>
          <w:b/>
        </w:rPr>
        <w:t xml:space="preserve"> </w:t>
      </w:r>
      <w:r w:rsidR="00980644" w:rsidRPr="00980644">
        <w:t>(Scheme 1a)</w:t>
      </w:r>
      <w:r w:rsidR="00861220" w:rsidRPr="00980644">
        <w:t>.</w:t>
      </w:r>
      <w:r w:rsidR="00861220" w:rsidRPr="00980644">
        <w:rPr>
          <w:b/>
        </w:rPr>
        <w:t xml:space="preserve"> </w:t>
      </w:r>
      <w:r w:rsidR="00861220" w:rsidRPr="00980644">
        <w:t>Similarly, p</w:t>
      </w:r>
      <w:r w:rsidR="006A3CF7" w:rsidRPr="00980644">
        <w:t>rodigi</w:t>
      </w:r>
      <w:r w:rsidR="00A43E94" w:rsidRPr="00980644">
        <w:t>n</w:t>
      </w:r>
      <w:r w:rsidR="006A3CF7" w:rsidRPr="00980644">
        <w:t>ine-like derivative</w:t>
      </w:r>
      <w:r w:rsidR="00861220" w:rsidRPr="00980644">
        <w:t xml:space="preserve"> </w:t>
      </w:r>
      <w:r w:rsidR="00861220" w:rsidRPr="00980644">
        <w:rPr>
          <w:b/>
        </w:rPr>
        <w:t xml:space="preserve">2 </w:t>
      </w:r>
      <w:r w:rsidR="00861220" w:rsidRPr="00980644">
        <w:t xml:space="preserve">was also prepared by condensation of aldehyde </w:t>
      </w:r>
      <w:r w:rsidR="003B4576" w:rsidRPr="00980644">
        <w:rPr>
          <w:b/>
        </w:rPr>
        <w:t>8</w:t>
      </w:r>
      <w:r w:rsidR="00861220" w:rsidRPr="00980644">
        <w:t xml:space="preserve"> and 2,4-dimethylpyrrole under similar conditions (Scheme 1</w:t>
      </w:r>
      <w:r w:rsidR="00A43E94" w:rsidRPr="00980644">
        <w:t>b</w:t>
      </w:r>
      <w:r w:rsidR="00861220" w:rsidRPr="00980644">
        <w:t>).</w:t>
      </w:r>
    </w:p>
    <w:p w14:paraId="688E1AA8" w14:textId="0C553822" w:rsidR="003B4576" w:rsidRPr="00980644" w:rsidRDefault="00306F0F" w:rsidP="003B4576">
      <w:pPr>
        <w:spacing w:line="360" w:lineRule="auto"/>
        <w:jc w:val="center"/>
      </w:pPr>
      <w:bookmarkStart w:id="6" w:name="_Hlk103252235"/>
      <w:r>
        <w:lastRenderedPageBreak/>
        <w:pict w14:anchorId="7952BC09">
          <v:shape id="_x0000_i1026" type="#_x0000_t75" style="width:403pt;height:278pt">
            <v:imagedata r:id="rId10" o:title=""/>
          </v:shape>
        </w:pict>
      </w:r>
      <w:bookmarkEnd w:id="6"/>
    </w:p>
    <w:p w14:paraId="760D08DD" w14:textId="3F52DA51" w:rsidR="00AE0851" w:rsidRPr="00980644" w:rsidRDefault="00594963" w:rsidP="00AE0851">
      <w:pPr>
        <w:spacing w:line="360" w:lineRule="auto"/>
        <w:jc w:val="both"/>
      </w:pPr>
      <w:r w:rsidRPr="00980644">
        <w:rPr>
          <w:b/>
          <w:bCs/>
        </w:rPr>
        <w:t>Scheme</w:t>
      </w:r>
      <w:r w:rsidR="00AE0851" w:rsidRPr="00980644">
        <w:rPr>
          <w:b/>
          <w:bCs/>
        </w:rPr>
        <w:t xml:space="preserve"> 1. </w:t>
      </w:r>
      <w:r w:rsidR="00E00A85" w:rsidRPr="00980644">
        <w:t>Synthes</w:t>
      </w:r>
      <w:r w:rsidR="0076579C" w:rsidRPr="00980644">
        <w:t>i</w:t>
      </w:r>
      <w:r w:rsidR="00E00A85" w:rsidRPr="00980644">
        <w:t xml:space="preserve">s of </w:t>
      </w:r>
      <w:r w:rsidR="001F17B6" w:rsidRPr="00980644">
        <w:t xml:space="preserve">target compounds </w:t>
      </w:r>
      <w:r w:rsidR="001F17B6" w:rsidRPr="00980644">
        <w:rPr>
          <w:b/>
        </w:rPr>
        <w:t>1</w:t>
      </w:r>
      <w:r w:rsidR="001F17B6" w:rsidRPr="00980644">
        <w:t>-</w:t>
      </w:r>
      <w:r w:rsidR="006C4B32" w:rsidRPr="00980644">
        <w:rPr>
          <w:b/>
          <w:bCs/>
        </w:rPr>
        <w:t>2</w:t>
      </w:r>
      <w:r w:rsidR="00AE0851" w:rsidRPr="00980644">
        <w:t>.</w:t>
      </w:r>
    </w:p>
    <w:p w14:paraId="6D19EC43" w14:textId="77777777" w:rsidR="0076579C" w:rsidRPr="00980644" w:rsidRDefault="0076579C" w:rsidP="001C3CFB">
      <w:pPr>
        <w:pStyle w:val="Newparagraph"/>
      </w:pPr>
    </w:p>
    <w:p w14:paraId="20E7DEBA" w14:textId="441677D2" w:rsidR="00D5592A" w:rsidRPr="00980644" w:rsidRDefault="001C3CFB" w:rsidP="00593E80">
      <w:pPr>
        <w:pStyle w:val="Newparagraph"/>
        <w:jc w:val="both"/>
      </w:pPr>
      <w:r w:rsidRPr="00980644">
        <w:t>Suitable crystals for single</w:t>
      </w:r>
      <w:r w:rsidR="00593E80" w:rsidRPr="00980644">
        <w:t>-</w:t>
      </w:r>
      <w:r w:rsidRPr="00980644">
        <w:t>crystal X-ray diffraction</w:t>
      </w:r>
      <w:r w:rsidR="003D09C0" w:rsidRPr="00980644">
        <w:t xml:space="preserve"> analysis</w:t>
      </w:r>
      <w:r w:rsidRPr="00980644">
        <w:t xml:space="preserve"> of compounds </w:t>
      </w:r>
      <w:r w:rsidRPr="00980644">
        <w:rPr>
          <w:b/>
        </w:rPr>
        <w:t>1</w:t>
      </w:r>
      <w:r w:rsidRPr="00980644">
        <w:t xml:space="preserve"> and </w:t>
      </w:r>
      <w:r w:rsidRPr="00980644">
        <w:rPr>
          <w:b/>
        </w:rPr>
        <w:t>2</w:t>
      </w:r>
      <w:r w:rsidRPr="00980644">
        <w:t xml:space="preserve"> </w:t>
      </w:r>
      <w:r w:rsidR="005124B6" w:rsidRPr="00980644">
        <w:t>as</w:t>
      </w:r>
      <w:r w:rsidR="00593E80" w:rsidRPr="00980644">
        <w:t xml:space="preserve"> their</w:t>
      </w:r>
      <w:r w:rsidR="005124B6" w:rsidRPr="00980644">
        <w:t xml:space="preserve"> hydrochlori</w:t>
      </w:r>
      <w:r w:rsidR="00306F0F">
        <w:t>de</w:t>
      </w:r>
      <w:r w:rsidR="005124B6" w:rsidRPr="00980644">
        <w:t xml:space="preserve"> salts </w:t>
      </w:r>
      <w:r w:rsidRPr="00980644">
        <w:t>were obtained</w:t>
      </w:r>
      <w:r w:rsidR="003D09C0" w:rsidRPr="00980644">
        <w:t>,</w:t>
      </w:r>
      <w:r w:rsidRPr="00980644">
        <w:t xml:space="preserve"> and the solid-state structures of these derivatives are shown in Figure 2.</w:t>
      </w:r>
    </w:p>
    <w:p w14:paraId="1689A86D" w14:textId="2EC50B56" w:rsidR="001C3CFB" w:rsidRPr="00980644" w:rsidRDefault="00A43E94" w:rsidP="00F36BF4">
      <w:pPr>
        <w:pStyle w:val="Newparagraph"/>
      </w:pPr>
      <w:r w:rsidRPr="00980644">
        <w:rPr>
          <w:noProof/>
          <w:lang w:eastAsia="es-ES"/>
        </w:rPr>
        <w:drawing>
          <wp:inline distT="0" distB="0" distL="0" distR="0" wp14:anchorId="36842AB8" wp14:editId="0767A8D8">
            <wp:extent cx="5201920" cy="22883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46" t="8155"/>
                    <a:stretch/>
                  </pic:blipFill>
                  <pic:spPr bwMode="auto">
                    <a:xfrm>
                      <a:off x="0" y="0"/>
                      <a:ext cx="5203105" cy="2288853"/>
                    </a:xfrm>
                    <a:prstGeom prst="rect">
                      <a:avLst/>
                    </a:prstGeom>
                    <a:noFill/>
                    <a:ln>
                      <a:noFill/>
                    </a:ln>
                    <a:extLst>
                      <a:ext uri="{53640926-AAD7-44D8-BBD7-CCE9431645EC}">
                        <a14:shadowObscured xmlns:a14="http://schemas.microsoft.com/office/drawing/2010/main"/>
                      </a:ext>
                    </a:extLst>
                  </pic:spPr>
                </pic:pic>
              </a:graphicData>
            </a:graphic>
          </wp:inline>
        </w:drawing>
      </w:r>
    </w:p>
    <w:p w14:paraId="3A0F083C" w14:textId="77777777" w:rsidR="001C3CFB" w:rsidRPr="00980644" w:rsidRDefault="001C3CFB" w:rsidP="00593E80">
      <w:pPr>
        <w:pStyle w:val="Figurecaption"/>
        <w:jc w:val="both"/>
      </w:pPr>
      <w:r w:rsidRPr="00980644">
        <w:rPr>
          <w:b/>
        </w:rPr>
        <w:t>Figure 2</w:t>
      </w:r>
      <w:r w:rsidRPr="00980644">
        <w:t xml:space="preserve">. Solid-state structures of compounds </w:t>
      </w:r>
      <w:r w:rsidRPr="00980644">
        <w:rPr>
          <w:b/>
        </w:rPr>
        <w:t>1</w:t>
      </w:r>
      <w:r w:rsidRPr="00980644">
        <w:t xml:space="preserve"> (left) and </w:t>
      </w:r>
      <w:r w:rsidRPr="00980644">
        <w:rPr>
          <w:b/>
        </w:rPr>
        <w:t>2</w:t>
      </w:r>
      <w:r w:rsidRPr="00980644">
        <w:t xml:space="preserve"> (right). Atoms: C, light gray; N, blue; O, red; Cl, dark green; H, white.</w:t>
      </w:r>
    </w:p>
    <w:p w14:paraId="6DBBA6D5" w14:textId="77777777" w:rsidR="0076579C" w:rsidRPr="00980644" w:rsidRDefault="0076579C" w:rsidP="0076579C"/>
    <w:p w14:paraId="52FC2CB1" w14:textId="13C46201" w:rsidR="001C3CFB" w:rsidRPr="00980644" w:rsidRDefault="00CD64C6" w:rsidP="005124B6">
      <w:pPr>
        <w:pStyle w:val="Newparagraph"/>
        <w:jc w:val="both"/>
      </w:pPr>
      <w:r w:rsidRPr="00980644">
        <w:lastRenderedPageBreak/>
        <w:t>The</w:t>
      </w:r>
      <w:r w:rsidR="00931C0F" w:rsidRPr="00980644">
        <w:t>se</w:t>
      </w:r>
      <w:r w:rsidRPr="00980644">
        <w:t xml:space="preserve"> solid-state structures confirm that both compounds are forming hydrogen bonding </w:t>
      </w:r>
      <w:r w:rsidR="00DC1FD5" w:rsidRPr="00980644">
        <w:t xml:space="preserve">1:1 </w:t>
      </w:r>
      <w:r w:rsidRPr="00980644">
        <w:t xml:space="preserve">complexes with the </w:t>
      </w:r>
      <w:r w:rsidR="00DC1FD5" w:rsidRPr="00980644">
        <w:t xml:space="preserve">chloride </w:t>
      </w:r>
      <w:r w:rsidRPr="00980644">
        <w:t xml:space="preserve">anion. </w:t>
      </w:r>
      <w:r w:rsidR="005051CF" w:rsidRPr="00980644">
        <w:t>T</w:t>
      </w:r>
      <w:r w:rsidRPr="00980644">
        <w:t xml:space="preserve">hese derivatives show the expected planarity of the tris-heterocyclic system, reflecting their high conjugation. </w:t>
      </w:r>
      <w:r w:rsidR="001C3CFB" w:rsidRPr="00980644">
        <w:t xml:space="preserve">The tris-heterocycle skeleton of </w:t>
      </w:r>
      <w:r w:rsidR="005124B6" w:rsidRPr="00980644">
        <w:rPr>
          <w:b/>
        </w:rPr>
        <w:t>1</w:t>
      </w:r>
      <w:r w:rsidR="001C3CFB" w:rsidRPr="00980644">
        <w:t xml:space="preserve"> </w:t>
      </w:r>
      <w:r w:rsidR="00931C0F" w:rsidRPr="00980644">
        <w:t>displays</w:t>
      </w:r>
      <w:r w:rsidR="001C3CFB" w:rsidRPr="00980644">
        <w:t xml:space="preserve"> a conformation where </w:t>
      </w:r>
      <w:r w:rsidRPr="00980644">
        <w:t>all heteroatoms from heterocy</w:t>
      </w:r>
      <w:r w:rsidR="003E56E7">
        <w:t>c</w:t>
      </w:r>
      <w:r w:rsidRPr="00980644">
        <w:t>les are oriented toward the anion</w:t>
      </w:r>
      <w:r w:rsidR="004339F8" w:rsidRPr="00980644">
        <w:t xml:space="preserve"> [</w:t>
      </w:r>
      <w:r w:rsidR="0020095D" w:rsidRPr="00980644">
        <w:t>28</w:t>
      </w:r>
      <w:r w:rsidR="004339F8" w:rsidRPr="00980644">
        <w:t>]</w:t>
      </w:r>
      <w:r w:rsidR="001C3CFB" w:rsidRPr="00980644">
        <w:t xml:space="preserve">. On </w:t>
      </w:r>
      <w:r w:rsidRPr="00980644">
        <w:t>the other hand</w:t>
      </w:r>
      <w:r w:rsidR="001C3CFB" w:rsidRPr="00980644">
        <w:t>, prodigi</w:t>
      </w:r>
      <w:r w:rsidR="005051CF" w:rsidRPr="00980644">
        <w:t>nine</w:t>
      </w:r>
      <w:r w:rsidR="001C3CFB" w:rsidRPr="00980644">
        <w:t xml:space="preserve"> </w:t>
      </w:r>
      <w:r w:rsidR="005124B6" w:rsidRPr="00980644">
        <w:rPr>
          <w:b/>
        </w:rPr>
        <w:t>2</w:t>
      </w:r>
      <w:r w:rsidRPr="00980644">
        <w:t xml:space="preserve"> </w:t>
      </w:r>
      <w:r w:rsidR="00931C0F" w:rsidRPr="00980644">
        <w:t>exhibits</w:t>
      </w:r>
      <w:r w:rsidRPr="00980644">
        <w:t xml:space="preserve"> a</w:t>
      </w:r>
      <w:r w:rsidR="001C3CFB" w:rsidRPr="00980644">
        <w:t xml:space="preserve"> confo</w:t>
      </w:r>
      <w:r w:rsidRPr="00980644">
        <w:t>rmation where the furan</w:t>
      </w:r>
      <w:r w:rsidR="001C3CFB" w:rsidRPr="00980644">
        <w:t xml:space="preserve"> ring is flipped away to minimi</w:t>
      </w:r>
      <w:r w:rsidR="009D5D4E" w:rsidRPr="00980644">
        <w:t>s</w:t>
      </w:r>
      <w:r w:rsidR="001C3CFB" w:rsidRPr="00980644">
        <w:t>e the electrostatic repulsions of the furan oxygen atom with the anion</w:t>
      </w:r>
      <w:r w:rsidR="003563D1" w:rsidRPr="00980644">
        <w:t>, thus</w:t>
      </w:r>
      <w:r w:rsidR="001C3CFB" w:rsidRPr="00980644">
        <w:t xml:space="preserve"> </w:t>
      </w:r>
      <w:r w:rsidRPr="00980644">
        <w:t>favo</w:t>
      </w:r>
      <w:r w:rsidR="00180BC0" w:rsidRPr="00980644">
        <w:t>u</w:t>
      </w:r>
      <w:r w:rsidRPr="00980644">
        <w:t>ring</w:t>
      </w:r>
      <w:r w:rsidR="001C3CFB" w:rsidRPr="00980644">
        <w:t xml:space="preserve"> </w:t>
      </w:r>
      <w:r w:rsidR="00882866" w:rsidRPr="00980644">
        <w:t>the</w:t>
      </w:r>
      <w:r w:rsidR="001C3CFB" w:rsidRPr="00980644">
        <w:t xml:space="preserve"> coordination</w:t>
      </w:r>
      <w:r w:rsidR="00882866" w:rsidRPr="00980644">
        <w:t xml:space="preserve"> of the latter</w:t>
      </w:r>
      <w:r w:rsidR="001C3CFB" w:rsidRPr="00980644">
        <w:t xml:space="preserve">. The NH groups of </w:t>
      </w:r>
      <w:r w:rsidR="003563D1" w:rsidRPr="00980644">
        <w:t xml:space="preserve">the </w:t>
      </w:r>
      <w:r w:rsidR="001C3CFB" w:rsidRPr="00980644">
        <w:t xml:space="preserve">pyrrole heterocycles </w:t>
      </w:r>
      <w:r w:rsidR="003563D1" w:rsidRPr="00980644">
        <w:t>interact, in both cases,</w:t>
      </w:r>
      <w:r w:rsidR="001C3CFB" w:rsidRPr="00980644">
        <w:t xml:space="preserve"> with the chloride anion through hydrogen bonds. </w:t>
      </w:r>
      <w:r w:rsidRPr="00980644">
        <w:t>Moreover</w:t>
      </w:r>
      <w:r w:rsidR="001C3CFB" w:rsidRPr="00980644">
        <w:t xml:space="preserve">, in </w:t>
      </w:r>
      <w:r w:rsidR="005051CF" w:rsidRPr="00980644">
        <w:t xml:space="preserve">prodiginine </w:t>
      </w:r>
      <w:r w:rsidR="005124B6" w:rsidRPr="00980644">
        <w:rPr>
          <w:b/>
        </w:rPr>
        <w:t>2</w:t>
      </w:r>
      <w:r w:rsidR="001C3CFB" w:rsidRPr="00980644">
        <w:t xml:space="preserve"> an additional hydrogen bond is formed between the CH group of the </w:t>
      </w:r>
      <w:r w:rsidR="0063714D" w:rsidRPr="00980644">
        <w:t>furan</w:t>
      </w:r>
      <w:r w:rsidR="001C3CFB" w:rsidRPr="00980644">
        <w:t xml:space="preserve"> </w:t>
      </w:r>
      <w:r w:rsidR="003563D1" w:rsidRPr="00980644">
        <w:t xml:space="preserve">ring </w:t>
      </w:r>
      <w:r w:rsidR="005124B6" w:rsidRPr="00980644">
        <w:t>and the chloride anion</w:t>
      </w:r>
      <w:r w:rsidR="001C3CFB" w:rsidRPr="00980644">
        <w:t xml:space="preserve">. </w:t>
      </w:r>
    </w:p>
    <w:p w14:paraId="2F4B711F" w14:textId="7FF60434" w:rsidR="00AE0851" w:rsidRPr="00980644" w:rsidRDefault="00BC4264" w:rsidP="00180BC0">
      <w:pPr>
        <w:pStyle w:val="Newparagraph"/>
        <w:jc w:val="both"/>
      </w:pPr>
      <w:r w:rsidRPr="00980644">
        <w:t>H</w:t>
      </w:r>
      <w:r w:rsidR="001C3CFB" w:rsidRPr="00980644">
        <w:t xml:space="preserve">ydrogen bonds are quite directional and </w:t>
      </w:r>
      <w:r w:rsidRPr="00980644">
        <w:t xml:space="preserve">distances and </w:t>
      </w:r>
      <w:r w:rsidR="001C3CFB" w:rsidRPr="00980644">
        <w:t xml:space="preserve">angles can be used as a measurement of their strength, </w:t>
      </w:r>
      <w:r w:rsidRPr="00980644">
        <w:t>being</w:t>
      </w:r>
      <w:r w:rsidR="001C3CFB" w:rsidRPr="00980644">
        <w:t xml:space="preserve"> </w:t>
      </w:r>
      <w:bookmarkStart w:id="7" w:name="_GoBack"/>
      <w:r w:rsidR="001C3CFB" w:rsidRPr="00980644">
        <w:t>values</w:t>
      </w:r>
      <w:bookmarkEnd w:id="7"/>
      <w:r w:rsidR="00B67F6F" w:rsidRPr="00980644">
        <w:t xml:space="preserve"> close</w:t>
      </w:r>
      <w:r w:rsidR="001C3CFB" w:rsidRPr="00980644">
        <w:t xml:space="preserve"> to 180</w:t>
      </w:r>
      <w:r w:rsidR="000C7A41" w:rsidRPr="00980644">
        <w:t>º</w:t>
      </w:r>
      <w:r w:rsidR="001C3CFB" w:rsidRPr="00980644">
        <w:t xml:space="preserve"> associated to stronger hydrogen bonds. In the case of </w:t>
      </w:r>
      <w:r w:rsidR="005124B6" w:rsidRPr="00980644">
        <w:rPr>
          <w:b/>
        </w:rPr>
        <w:t>1</w:t>
      </w:r>
      <w:r w:rsidR="001C3CFB" w:rsidRPr="00980644">
        <w:t xml:space="preserve">, the values of the NH···Cl </w:t>
      </w:r>
      <w:r w:rsidR="00B67F6F" w:rsidRPr="00980644">
        <w:t xml:space="preserve">angles </w:t>
      </w:r>
      <w:r w:rsidR="001C3CFB" w:rsidRPr="00980644">
        <w:t>(167.9</w:t>
      </w:r>
      <w:r w:rsidR="000C7A41" w:rsidRPr="00980644">
        <w:t>º</w:t>
      </w:r>
      <w:r w:rsidR="001C3CFB" w:rsidRPr="00980644">
        <w:t xml:space="preserve"> and 153.6</w:t>
      </w:r>
      <w:r w:rsidR="000C7A41" w:rsidRPr="00980644">
        <w:t>º</w:t>
      </w:r>
      <w:r w:rsidR="001C3CFB" w:rsidRPr="00980644">
        <w:t>) and the length of these non-covalent bonds</w:t>
      </w:r>
      <w:r w:rsidRPr="00980644">
        <w:t xml:space="preserve"> (3.09 and 3.23 Å) </w:t>
      </w:r>
      <w:r w:rsidR="00B67F6F" w:rsidRPr="00980644">
        <w:t>are typical of moderately strong interactions</w:t>
      </w:r>
      <w:r w:rsidR="00F80768" w:rsidRPr="00980644">
        <w:t xml:space="preserve"> [29-30]</w:t>
      </w:r>
      <w:r w:rsidR="001C3CFB" w:rsidRPr="00980644">
        <w:t xml:space="preserve">. </w:t>
      </w:r>
      <w:r w:rsidR="00FE0665" w:rsidRPr="00980644">
        <w:t xml:space="preserve">The distance between chloride and the oxygen atom of the furan ring is 3.60 Å. </w:t>
      </w:r>
      <w:r w:rsidR="001C3CFB" w:rsidRPr="00980644">
        <w:t xml:space="preserve">The high aromatic conjugation of </w:t>
      </w:r>
      <w:r w:rsidR="005124B6" w:rsidRPr="00980644">
        <w:rPr>
          <w:b/>
        </w:rPr>
        <w:t>1</w:t>
      </w:r>
      <w:r w:rsidR="001C3CFB" w:rsidRPr="00980644">
        <w:t xml:space="preserve"> is also reflected on </w:t>
      </w:r>
      <w:r w:rsidR="00C21B5E" w:rsidRPr="00980644">
        <w:t xml:space="preserve">the </w:t>
      </w:r>
      <w:r w:rsidR="001C3CFB" w:rsidRPr="00980644">
        <w:t>C(sp</w:t>
      </w:r>
      <w:r w:rsidR="001C3CFB" w:rsidRPr="00980644">
        <w:rPr>
          <w:vertAlign w:val="superscript"/>
        </w:rPr>
        <w:t>2</w:t>
      </w:r>
      <w:r w:rsidR="001C3CFB" w:rsidRPr="00980644">
        <w:t>)-C(sp</w:t>
      </w:r>
      <w:r w:rsidR="001C3CFB" w:rsidRPr="00980644">
        <w:rPr>
          <w:vertAlign w:val="superscript"/>
        </w:rPr>
        <w:t>2</w:t>
      </w:r>
      <w:r w:rsidR="001C3CFB" w:rsidRPr="00980644">
        <w:t>) distances. Thus, the length of</w:t>
      </w:r>
      <w:r w:rsidR="00FB1B24" w:rsidRPr="00980644">
        <w:t xml:space="preserve"> the</w:t>
      </w:r>
      <w:r w:rsidR="001C3CFB" w:rsidRPr="00980644">
        <w:t xml:space="preserve"> C-C bond connecting the pyrrole </w:t>
      </w:r>
      <w:r w:rsidRPr="00980644">
        <w:t>and</w:t>
      </w:r>
      <w:r w:rsidR="001C3CFB" w:rsidRPr="00980644">
        <w:t xml:space="preserve"> </w:t>
      </w:r>
      <w:r w:rsidR="0063714D" w:rsidRPr="00980644">
        <w:t>furan</w:t>
      </w:r>
      <w:r w:rsidR="001C3CFB" w:rsidRPr="00980644">
        <w:t xml:space="preserve"> is shorter than</w:t>
      </w:r>
      <w:r w:rsidR="00FB1B24" w:rsidRPr="00980644">
        <w:t xml:space="preserve"> the</w:t>
      </w:r>
      <w:r w:rsidR="001C3CFB" w:rsidRPr="00980644">
        <w:t xml:space="preserve"> typical values of the</w:t>
      </w:r>
      <w:r w:rsidR="00FB1B24" w:rsidRPr="00980644">
        <w:t xml:space="preserve"> corresponding</w:t>
      </w:r>
      <w:r w:rsidR="001C3CFB" w:rsidRPr="00980644">
        <w:t xml:space="preserve"> single bonds because it has a partial double bond character.</w:t>
      </w:r>
      <w:r w:rsidR="00CD64C6" w:rsidRPr="00980644">
        <w:t xml:space="preserve"> NOESY NMR spectra in CDCl</w:t>
      </w:r>
      <w:r w:rsidR="00CD64C6" w:rsidRPr="00980644">
        <w:rPr>
          <w:vertAlign w:val="subscript"/>
        </w:rPr>
        <w:t>3</w:t>
      </w:r>
      <w:r w:rsidR="00CD64C6" w:rsidRPr="00980644">
        <w:t xml:space="preserve"> also supported th</w:t>
      </w:r>
      <w:r w:rsidR="0020095D" w:rsidRPr="00980644">
        <w:t>is disposition as the</w:t>
      </w:r>
      <w:r w:rsidR="00CD64C6" w:rsidRPr="00980644">
        <w:t xml:space="preserve"> preferred conformation for </w:t>
      </w:r>
      <w:r w:rsidR="00CD64C6" w:rsidRPr="00980644">
        <w:rPr>
          <w:b/>
        </w:rPr>
        <w:t>1</w:t>
      </w:r>
      <w:r w:rsidR="00CD64C6" w:rsidRPr="00980644">
        <w:t xml:space="preserve"> in solution (See </w:t>
      </w:r>
      <w:r w:rsidR="008C3D51" w:rsidRPr="00980644">
        <w:t>Figure S22</w:t>
      </w:r>
      <w:r w:rsidR="00CD64C6" w:rsidRPr="00980644">
        <w:t xml:space="preserve">). </w:t>
      </w:r>
      <w:r w:rsidR="00C21B5E" w:rsidRPr="00980644">
        <w:t>For</w:t>
      </w:r>
      <w:r w:rsidR="001C3CFB" w:rsidRPr="00980644">
        <w:t xml:space="preserve"> compound </w:t>
      </w:r>
      <w:r w:rsidR="00FE0665" w:rsidRPr="00980644">
        <w:rPr>
          <w:b/>
        </w:rPr>
        <w:t>2</w:t>
      </w:r>
      <w:r w:rsidR="001C3CFB" w:rsidRPr="00980644">
        <w:t xml:space="preserve">, </w:t>
      </w:r>
      <w:r w:rsidR="00C21B5E" w:rsidRPr="00980644">
        <w:t xml:space="preserve">the </w:t>
      </w:r>
      <w:r w:rsidR="001C3CFB" w:rsidRPr="00980644">
        <w:t>distances of both NH···Cl hydrogen bonds are similar (3.20 and 3.10 Å</w:t>
      </w:r>
      <w:r w:rsidR="00BF7DAD" w:rsidRPr="00980644">
        <w:t>)</w:t>
      </w:r>
      <w:r w:rsidR="001C3CFB" w:rsidRPr="00980644">
        <w:t>. Furthermore, the CH···Cl interaction displays a long</w:t>
      </w:r>
      <w:r w:rsidRPr="00980644">
        <w:t>er hydrogen bonding</w:t>
      </w:r>
      <w:r w:rsidR="001C3CFB" w:rsidRPr="00980644">
        <w:t xml:space="preserve"> length (3.51 Å), which </w:t>
      </w:r>
      <w:r w:rsidR="00FB1B24" w:rsidRPr="00980644">
        <w:t>is in agreement</w:t>
      </w:r>
      <w:r w:rsidR="001C3CFB" w:rsidRPr="00980644">
        <w:t xml:space="preserve"> with the lower strength of this interaction. Regarding the angles, the NH···Cl hydrogen bonds display </w:t>
      </w:r>
      <w:r w:rsidR="002A4B64" w:rsidRPr="00980644">
        <w:t>values</w:t>
      </w:r>
      <w:r w:rsidR="001C3CFB" w:rsidRPr="00980644">
        <w:t xml:space="preserve"> of 174.6</w:t>
      </w:r>
      <w:r w:rsidR="000C7A41" w:rsidRPr="00980644">
        <w:t>º</w:t>
      </w:r>
      <w:r w:rsidR="001C3CFB" w:rsidRPr="00980644">
        <w:t xml:space="preserve"> and 166.6</w:t>
      </w:r>
      <w:r w:rsidR="000C7A41" w:rsidRPr="00980644">
        <w:t>º</w:t>
      </w:r>
      <w:r w:rsidR="002A4B64" w:rsidRPr="00980644">
        <w:t>,</w:t>
      </w:r>
      <w:r w:rsidR="001C3CFB" w:rsidRPr="00980644">
        <w:t xml:space="preserve"> </w:t>
      </w:r>
      <w:r w:rsidR="002A4B64" w:rsidRPr="00980644">
        <w:t>while that of</w:t>
      </w:r>
      <w:r w:rsidR="001C3CFB" w:rsidRPr="00980644">
        <w:t xml:space="preserve"> the CH···Cl hydrogen bond is 151.9</w:t>
      </w:r>
      <w:r w:rsidR="000C7A41" w:rsidRPr="00980644">
        <w:t>º</w:t>
      </w:r>
      <w:r w:rsidR="001C3CFB" w:rsidRPr="00980644">
        <w:t xml:space="preserve">. </w:t>
      </w:r>
      <w:r w:rsidR="0000703E" w:rsidRPr="00980644">
        <w:t>I</w:t>
      </w:r>
      <w:r w:rsidR="001C3CFB" w:rsidRPr="00980644">
        <w:t xml:space="preserve">n compound </w:t>
      </w:r>
      <w:r w:rsidR="005124B6" w:rsidRPr="00980644">
        <w:rPr>
          <w:b/>
        </w:rPr>
        <w:t>2</w:t>
      </w:r>
      <w:r w:rsidR="001C3CFB" w:rsidRPr="00980644">
        <w:t xml:space="preserve"> the</w:t>
      </w:r>
      <w:r w:rsidRPr="00980644">
        <w:t xml:space="preserve"> C-C</w:t>
      </w:r>
      <w:r w:rsidR="001C3CFB" w:rsidRPr="00980644">
        <w:t xml:space="preserve"> bonds </w:t>
      </w:r>
      <w:r w:rsidR="00980644" w:rsidRPr="00980644">
        <w:t xml:space="preserve">around the methine group connecting the two </w:t>
      </w:r>
      <w:r w:rsidR="00980644" w:rsidRPr="00980644">
        <w:lastRenderedPageBreak/>
        <w:t xml:space="preserve">pyrrole systems </w:t>
      </w:r>
      <w:r w:rsidR="001C3CFB" w:rsidRPr="00980644">
        <w:t>show similar distances (around 1.37 Å) and an angle of 134.7</w:t>
      </w:r>
      <w:r w:rsidR="000C7A41" w:rsidRPr="00980644">
        <w:t>º</w:t>
      </w:r>
      <w:r w:rsidR="001C3CFB" w:rsidRPr="00980644">
        <w:t xml:space="preserve">. As well as in </w:t>
      </w:r>
      <w:r w:rsidR="00DC1FD5" w:rsidRPr="00980644">
        <w:rPr>
          <w:b/>
        </w:rPr>
        <w:t>1</w:t>
      </w:r>
      <w:r w:rsidR="001C3CFB" w:rsidRPr="00980644">
        <w:t>, the C(sp</w:t>
      </w:r>
      <w:r w:rsidR="001C3CFB" w:rsidRPr="00980644">
        <w:rPr>
          <w:vertAlign w:val="superscript"/>
        </w:rPr>
        <w:t>2</w:t>
      </w:r>
      <w:r w:rsidR="001C3CFB" w:rsidRPr="00980644">
        <w:t>)-C(sp</w:t>
      </w:r>
      <w:r w:rsidR="001C3CFB" w:rsidRPr="00980644">
        <w:rPr>
          <w:vertAlign w:val="superscript"/>
        </w:rPr>
        <w:t>2</w:t>
      </w:r>
      <w:r w:rsidR="001C3CFB" w:rsidRPr="00980644">
        <w:t xml:space="preserve">) distances in compound </w:t>
      </w:r>
      <w:r w:rsidR="00DC1FD5" w:rsidRPr="00980644">
        <w:rPr>
          <w:b/>
        </w:rPr>
        <w:t>2</w:t>
      </w:r>
      <w:r w:rsidR="001C3CFB" w:rsidRPr="00980644">
        <w:t xml:space="preserve"> are intermediate between</w:t>
      </w:r>
      <w:r w:rsidR="0000703E" w:rsidRPr="00980644">
        <w:t xml:space="preserve"> the</w:t>
      </w:r>
      <w:r w:rsidR="001C3CFB" w:rsidRPr="00980644">
        <w:t xml:space="preserve"> typical values of single and double bonds, which highlights the high aromatic conjugation of the system. All </w:t>
      </w:r>
      <w:r w:rsidR="00A80F1C" w:rsidRPr="00980644">
        <w:t xml:space="preserve">crystallographic </w:t>
      </w:r>
      <w:r w:rsidR="001C3CFB" w:rsidRPr="00980644">
        <w:t xml:space="preserve">data of </w:t>
      </w:r>
      <w:r w:rsidR="005124B6" w:rsidRPr="00980644">
        <w:rPr>
          <w:b/>
        </w:rPr>
        <w:t>2</w:t>
      </w:r>
      <w:r w:rsidR="001C3CFB" w:rsidRPr="00980644">
        <w:t xml:space="preserve"> evidence that it</w:t>
      </w:r>
      <w:r w:rsidR="005124B6" w:rsidRPr="00980644">
        <w:t>s structure</w:t>
      </w:r>
      <w:r w:rsidR="001C3CFB" w:rsidRPr="00980644">
        <w:t xml:space="preserve"> is similar to</w:t>
      </w:r>
      <w:r w:rsidR="0000703E" w:rsidRPr="00980644">
        <w:t xml:space="preserve"> those of</w:t>
      </w:r>
      <w:r w:rsidR="001C3CFB" w:rsidRPr="00980644">
        <w:t xml:space="preserve"> </w:t>
      </w:r>
      <w:r w:rsidR="0000703E" w:rsidRPr="00980644">
        <w:t xml:space="preserve">the </w:t>
      </w:r>
      <w:r w:rsidR="001C3CFB" w:rsidRPr="00980644">
        <w:t>click-prodigi</w:t>
      </w:r>
      <w:r w:rsidR="005124B6" w:rsidRPr="00980644">
        <w:t>nines reported recently by us</w:t>
      </w:r>
      <w:r w:rsidR="0020095D" w:rsidRPr="00980644">
        <w:t xml:space="preserve"> [</w:t>
      </w:r>
      <w:r w:rsidR="00F80768" w:rsidRPr="00980644">
        <w:t>31</w:t>
      </w:r>
      <w:r w:rsidR="0020095D" w:rsidRPr="00980644">
        <w:t>]</w:t>
      </w:r>
      <w:r w:rsidR="001C3CFB" w:rsidRPr="00980644">
        <w:t>.</w:t>
      </w:r>
    </w:p>
    <w:p w14:paraId="426D699E" w14:textId="7600A002" w:rsidR="003B4576" w:rsidRPr="00980644" w:rsidRDefault="00306F0F" w:rsidP="003B4576">
      <w:pPr>
        <w:pStyle w:val="Newparagraph"/>
        <w:ind w:firstLine="0"/>
        <w:jc w:val="center"/>
      </w:pPr>
      <w:r>
        <w:pict w14:anchorId="134CFAF7">
          <v:shape id="_x0000_i1027" type="#_x0000_t75" style="width:249pt;height:85pt">
            <v:imagedata r:id="rId12" o:title=""/>
          </v:shape>
        </w:pict>
      </w:r>
    </w:p>
    <w:p w14:paraId="2ED025B4" w14:textId="53E9BDCF" w:rsidR="006C4B32" w:rsidRPr="00980644" w:rsidRDefault="006C4B32" w:rsidP="003B4576">
      <w:pPr>
        <w:pStyle w:val="Newparagraph"/>
        <w:ind w:firstLine="0"/>
        <w:jc w:val="both"/>
      </w:pPr>
      <w:r w:rsidRPr="00980644">
        <w:rPr>
          <w:b/>
          <w:bCs/>
        </w:rPr>
        <w:t xml:space="preserve">Scheme 2. </w:t>
      </w:r>
      <w:r w:rsidRPr="00980644">
        <w:t xml:space="preserve">Synthesis of compound </w:t>
      </w:r>
      <w:r w:rsidRPr="00980644">
        <w:rPr>
          <w:b/>
        </w:rPr>
        <w:t>3</w:t>
      </w:r>
      <w:r w:rsidRPr="00980644">
        <w:t>.</w:t>
      </w:r>
    </w:p>
    <w:p w14:paraId="7C3F7E89" w14:textId="1B5B196B" w:rsidR="007C608E" w:rsidRPr="00980644" w:rsidRDefault="00254664" w:rsidP="000C7A41">
      <w:pPr>
        <w:pStyle w:val="Newparagraph"/>
        <w:jc w:val="both"/>
      </w:pPr>
      <w:r w:rsidRPr="00980644">
        <w:t xml:space="preserve">The availability of </w:t>
      </w:r>
      <w:r w:rsidR="00F71EDE" w:rsidRPr="00980644">
        <w:t xml:space="preserve">compound </w:t>
      </w:r>
      <w:r w:rsidR="00F71EDE" w:rsidRPr="00980644">
        <w:rPr>
          <w:b/>
          <w:bCs/>
        </w:rPr>
        <w:t>4</w:t>
      </w:r>
      <w:r w:rsidR="00F71EDE" w:rsidRPr="00980644">
        <w:t xml:space="preserve"> prompted us to explore the preparation of compounds resembling the structure of tambjamines (</w:t>
      </w:r>
      <w:r w:rsidR="00DC1FD5" w:rsidRPr="00980644">
        <w:t>Scheme 2</w:t>
      </w:r>
      <w:r w:rsidR="00F71EDE" w:rsidRPr="00980644">
        <w:t>). Tambjamines are remarkably stable Schiff bases (imines) synthesi</w:t>
      </w:r>
      <w:r w:rsidR="00BF7DAD" w:rsidRPr="00980644">
        <w:t>s</w:t>
      </w:r>
      <w:r w:rsidR="00F71EDE" w:rsidRPr="00980644">
        <w:t>ed by condensation of an amine and a carbonyl compound under mild acid</w:t>
      </w:r>
      <w:r w:rsidR="003D67FB" w:rsidRPr="00980644">
        <w:t>ic</w:t>
      </w:r>
      <w:r w:rsidR="00F71EDE" w:rsidRPr="00980644">
        <w:t xml:space="preserve"> conditions. Thus, reaction of </w:t>
      </w:r>
      <w:r w:rsidR="00F71EDE" w:rsidRPr="00980644">
        <w:rPr>
          <w:b/>
        </w:rPr>
        <w:t>4</w:t>
      </w:r>
      <w:r w:rsidR="00F71EDE" w:rsidRPr="00980644">
        <w:t xml:space="preserve"> with cyclohexylamine using acetic acid as catalyst allow</w:t>
      </w:r>
      <w:r w:rsidR="0011621D" w:rsidRPr="00980644">
        <w:t>ed</w:t>
      </w:r>
      <w:r w:rsidR="00F71EDE" w:rsidRPr="00980644">
        <w:t xml:space="preserve"> t</w:t>
      </w:r>
      <w:r w:rsidR="0011621D" w:rsidRPr="00980644">
        <w:t>o</w:t>
      </w:r>
      <w:r w:rsidR="00F71EDE" w:rsidRPr="00980644">
        <w:t xml:space="preserve"> obt</w:t>
      </w:r>
      <w:r w:rsidR="0011621D" w:rsidRPr="00980644">
        <w:t>ai</w:t>
      </w:r>
      <w:r w:rsidR="00F71EDE" w:rsidRPr="00980644">
        <w:t>n</w:t>
      </w:r>
      <w:r w:rsidR="0011621D" w:rsidRPr="00980644">
        <w:t xml:space="preserve"> </w:t>
      </w:r>
      <w:r w:rsidR="00F71EDE" w:rsidRPr="00980644">
        <w:t xml:space="preserve">compound </w:t>
      </w:r>
      <w:r w:rsidR="00F71EDE" w:rsidRPr="00980644">
        <w:rPr>
          <w:b/>
        </w:rPr>
        <w:t>3</w:t>
      </w:r>
      <w:r w:rsidR="00F71EDE" w:rsidRPr="00980644">
        <w:t xml:space="preserve"> as</w:t>
      </w:r>
      <w:r w:rsidR="003D67FB" w:rsidRPr="00980644">
        <w:t xml:space="preserve"> its</w:t>
      </w:r>
      <w:r w:rsidR="00F71EDE" w:rsidRPr="00980644">
        <w:t xml:space="preserve"> hydrochlori</w:t>
      </w:r>
      <w:r w:rsidR="00306F0F">
        <w:t>de</w:t>
      </w:r>
      <w:r w:rsidR="00F71EDE" w:rsidRPr="00980644">
        <w:t xml:space="preserve"> salt after washing</w:t>
      </w:r>
      <w:r w:rsidR="004D6AB2" w:rsidRPr="00980644">
        <w:t xml:space="preserve"> the crude</w:t>
      </w:r>
      <w:r w:rsidR="00F71EDE" w:rsidRPr="00980644">
        <w:t xml:space="preserve"> with a hydrochloric acid solution. It should be noted that when aromatic am</w:t>
      </w:r>
      <w:r w:rsidR="00DC1FD5" w:rsidRPr="00980644">
        <w:t xml:space="preserve">ines were employed no reaction </w:t>
      </w:r>
      <w:r w:rsidR="00F71EDE" w:rsidRPr="00980644">
        <w:t>was observed, precluding the synthesis of aromatic-substituted imines.</w:t>
      </w:r>
      <w:r w:rsidR="00DC1FD5" w:rsidRPr="00980644">
        <w:t xml:space="preserve"> This result could be explained by the lower nucleophilicity of aromatic amines </w:t>
      </w:r>
      <w:r w:rsidR="00980644" w:rsidRPr="00980644">
        <w:t xml:space="preserve">compared to aliphatic amines </w:t>
      </w:r>
      <w:r w:rsidR="00DC1FD5" w:rsidRPr="00980644">
        <w:t xml:space="preserve">and </w:t>
      </w:r>
      <w:r w:rsidR="00980644" w:rsidRPr="00980644">
        <w:t xml:space="preserve">the low </w:t>
      </w:r>
      <w:r w:rsidR="00DC1FD5" w:rsidRPr="00980644">
        <w:t>electrophilic</w:t>
      </w:r>
      <w:r w:rsidR="00DF7CEB" w:rsidRPr="00980644">
        <w:t>ity of the carbonyl</w:t>
      </w:r>
      <w:r w:rsidR="00DC1FD5" w:rsidRPr="00980644">
        <w:t xml:space="preserve"> carbon of th</w:t>
      </w:r>
      <w:r w:rsidR="00DF7CEB" w:rsidRPr="00980644">
        <w:t>is derivative.</w:t>
      </w:r>
    </w:p>
    <w:p w14:paraId="2AE64A87" w14:textId="77777777" w:rsidR="00F71EDE" w:rsidRPr="00980644" w:rsidRDefault="00F71EDE" w:rsidP="00F71EDE">
      <w:pPr>
        <w:pStyle w:val="Ttulo2"/>
      </w:pPr>
      <w:r w:rsidRPr="00980644">
        <w:t>Anion transport experiments</w:t>
      </w:r>
    </w:p>
    <w:p w14:paraId="5FC5E127" w14:textId="0652C972" w:rsidR="00F71EDE" w:rsidRPr="00980644" w:rsidRDefault="00F71EDE" w:rsidP="000C7A41">
      <w:pPr>
        <w:pStyle w:val="Newparagraph"/>
        <w:jc w:val="both"/>
      </w:pPr>
      <w:r w:rsidRPr="00980644">
        <w:t xml:space="preserve">Anion transport assays were carried out in </w:t>
      </w:r>
      <w:r w:rsidR="00092155" w:rsidRPr="00980644">
        <w:t>1‐palmitoyl‐2‐oleoyl‐</w:t>
      </w:r>
      <w:r w:rsidR="00092155" w:rsidRPr="00980644">
        <w:rPr>
          <w:i/>
        </w:rPr>
        <w:t>sn</w:t>
      </w:r>
      <w:r w:rsidR="00092155" w:rsidRPr="00980644">
        <w:t xml:space="preserve">‐glycero‐3‐phosphocholine (POPC) </w:t>
      </w:r>
      <w:r w:rsidRPr="00980644">
        <w:t>vesicle</w:t>
      </w:r>
      <w:r w:rsidR="00092155" w:rsidRPr="00980644">
        <w:t>s using a chloride</w:t>
      </w:r>
      <w:r w:rsidR="003572AB" w:rsidRPr="00980644">
        <w:t>-</w:t>
      </w:r>
      <w:r w:rsidR="00092155" w:rsidRPr="00980644">
        <w:t>selective electrode</w:t>
      </w:r>
      <w:r w:rsidRPr="00980644">
        <w:t xml:space="preserve">. </w:t>
      </w:r>
      <w:r w:rsidR="0011621D" w:rsidRPr="00980644">
        <w:t>Full details on vesicles preparation and performance of the assays</w:t>
      </w:r>
      <w:r w:rsidR="00B70D34" w:rsidRPr="00980644">
        <w:t xml:space="preserve"> are described </w:t>
      </w:r>
      <w:r w:rsidR="003572AB" w:rsidRPr="00980644">
        <w:t>in</w:t>
      </w:r>
      <w:r w:rsidR="00B70D34" w:rsidRPr="00980644">
        <w:t xml:space="preserve"> the experimental section. </w:t>
      </w:r>
      <w:r w:rsidR="00092155" w:rsidRPr="00980644">
        <w:t>The</w:t>
      </w:r>
      <w:r w:rsidRPr="00980644">
        <w:t xml:space="preserve"> </w:t>
      </w:r>
      <w:r w:rsidR="00CB4240" w:rsidRPr="00980644">
        <w:t>NO</w:t>
      </w:r>
      <w:r w:rsidR="00CB4240" w:rsidRPr="00980644">
        <w:rPr>
          <w:vertAlign w:val="subscript"/>
        </w:rPr>
        <w:t>3</w:t>
      </w:r>
      <w:r w:rsidR="00CB4240" w:rsidRPr="00980644">
        <w:rPr>
          <w:vertAlign w:val="superscript"/>
        </w:rPr>
        <w:t>–</w:t>
      </w:r>
      <w:r w:rsidR="00CB4240" w:rsidRPr="00980644">
        <w:t>/Cl</w:t>
      </w:r>
      <w:r w:rsidR="00CB4240" w:rsidRPr="00980644">
        <w:rPr>
          <w:vertAlign w:val="superscript"/>
        </w:rPr>
        <w:t>–</w:t>
      </w:r>
      <w:r w:rsidR="00CB4240" w:rsidRPr="00980644">
        <w:t xml:space="preserve"> </w:t>
      </w:r>
      <w:r w:rsidR="00092155" w:rsidRPr="00980644">
        <w:t xml:space="preserve">exchange </w:t>
      </w:r>
      <w:r w:rsidRPr="00980644">
        <w:t>and</w:t>
      </w:r>
      <w:r w:rsidR="0011621D" w:rsidRPr="00980644">
        <w:t xml:space="preserve"> </w:t>
      </w:r>
      <w:r w:rsidR="00092155" w:rsidRPr="00980644">
        <w:t xml:space="preserve">the </w:t>
      </w:r>
      <w:r w:rsidR="00CB4240" w:rsidRPr="00980644">
        <w:t>HCO</w:t>
      </w:r>
      <w:r w:rsidR="00CB4240" w:rsidRPr="00980644">
        <w:rPr>
          <w:vertAlign w:val="subscript"/>
        </w:rPr>
        <w:t>3</w:t>
      </w:r>
      <w:r w:rsidR="00CB4240" w:rsidRPr="00980644">
        <w:rPr>
          <w:vertAlign w:val="superscript"/>
        </w:rPr>
        <w:t>–</w:t>
      </w:r>
      <w:r w:rsidR="00CB4240" w:rsidRPr="00980644">
        <w:t>/Cl</w:t>
      </w:r>
      <w:r w:rsidR="00CB4240" w:rsidRPr="00980644">
        <w:rPr>
          <w:vertAlign w:val="superscript"/>
        </w:rPr>
        <w:t>–</w:t>
      </w:r>
      <w:r w:rsidR="00CB4240" w:rsidRPr="00980644">
        <w:t xml:space="preserve"> </w:t>
      </w:r>
      <w:r w:rsidR="00092155" w:rsidRPr="00980644">
        <w:t>exchange assay</w:t>
      </w:r>
      <w:r w:rsidR="00AD3AD5" w:rsidRPr="00980644">
        <w:t>s</w:t>
      </w:r>
      <w:r w:rsidR="00092155" w:rsidRPr="00980644">
        <w:t xml:space="preserve"> were explored</w:t>
      </w:r>
      <w:r w:rsidRPr="00980644">
        <w:t xml:space="preserve">. </w:t>
      </w:r>
      <w:r w:rsidR="0011621D" w:rsidRPr="00980644">
        <w:lastRenderedPageBreak/>
        <w:t>A</w:t>
      </w:r>
      <w:r w:rsidR="003572AB" w:rsidRPr="00980644">
        <w:t>liquots</w:t>
      </w:r>
      <w:r w:rsidR="00B70D34" w:rsidRPr="00980644">
        <w:t xml:space="preserve"> of</w:t>
      </w:r>
      <w:r w:rsidR="003572AB" w:rsidRPr="00980644">
        <w:t xml:space="preserve"> DMSO solutions of</w:t>
      </w:r>
      <w:r w:rsidR="00B70D34" w:rsidRPr="00980644">
        <w:t xml:space="preserve"> the </w:t>
      </w:r>
      <w:r w:rsidR="00DF7CEB" w:rsidRPr="00980644">
        <w:t>studied</w:t>
      </w:r>
      <w:r w:rsidR="00B70D34" w:rsidRPr="00980644">
        <w:t xml:space="preserve"> compounds were added to a suspension of </w:t>
      </w:r>
      <w:r w:rsidR="003572AB" w:rsidRPr="00980644">
        <w:t xml:space="preserve">the </w:t>
      </w:r>
      <w:r w:rsidR="00B70D34" w:rsidRPr="00980644">
        <w:t>chloride</w:t>
      </w:r>
      <w:r w:rsidR="003572AB" w:rsidRPr="00980644">
        <w:t>-</w:t>
      </w:r>
      <w:r w:rsidR="00B70D34" w:rsidRPr="00980644">
        <w:t xml:space="preserve">containing vesicles. Chloride efflux </w:t>
      </w:r>
      <w:r w:rsidR="003572AB" w:rsidRPr="00980644">
        <w:t>was</w:t>
      </w:r>
      <w:r w:rsidR="00B70D34" w:rsidRPr="00980644">
        <w:t xml:space="preserve"> monitored </w:t>
      </w:r>
      <w:r w:rsidR="00DF7CEB" w:rsidRPr="00980644">
        <w:t>with a</w:t>
      </w:r>
      <w:r w:rsidR="00B70D34" w:rsidRPr="00980644">
        <w:t xml:space="preserve"> chloride</w:t>
      </w:r>
      <w:r w:rsidR="003572AB" w:rsidRPr="00980644">
        <w:t>-</w:t>
      </w:r>
      <w:r w:rsidR="00B70D34" w:rsidRPr="00980644">
        <w:t xml:space="preserve">selective electrode and a detergent </w:t>
      </w:r>
      <w:r w:rsidR="003572AB" w:rsidRPr="00980644">
        <w:t>was</w:t>
      </w:r>
      <w:r w:rsidR="00B70D34" w:rsidRPr="00980644">
        <w:t xml:space="preserve"> added at the end of the experiments</w:t>
      </w:r>
      <w:r w:rsidR="003572AB" w:rsidRPr="00980644">
        <w:t xml:space="preserve"> to</w:t>
      </w:r>
      <w:r w:rsidR="00B70D34" w:rsidRPr="00980644">
        <w:t xml:space="preserve"> </w:t>
      </w:r>
      <w:r w:rsidR="00DF7CEB" w:rsidRPr="00980644">
        <w:t>lyse the vesicles and</w:t>
      </w:r>
      <w:r w:rsidR="00B70D34" w:rsidRPr="00980644">
        <w:t xml:space="preserve"> release all the encapsulated chloride, being this value used as 100% of chloride efflux. </w:t>
      </w:r>
      <w:bookmarkStart w:id="8" w:name="_Hlk103249504"/>
      <w:r w:rsidR="00B70D34" w:rsidRPr="00980644">
        <w:t>Performing the assays a</w:t>
      </w:r>
      <w:r w:rsidR="00B2338F" w:rsidRPr="00980644">
        <w:t>t</w:t>
      </w:r>
      <w:r w:rsidR="00B70D34" w:rsidRPr="00980644">
        <w:t xml:space="preserve"> various concentrations </w:t>
      </w:r>
      <w:bookmarkEnd w:id="8"/>
      <w:r w:rsidR="00B70D34" w:rsidRPr="00980644">
        <w:t>allow</w:t>
      </w:r>
      <w:r w:rsidR="00980644" w:rsidRPr="00980644">
        <w:t>s</w:t>
      </w:r>
      <w:r w:rsidR="00B70D34" w:rsidRPr="00980644">
        <w:t xml:space="preserve"> </w:t>
      </w:r>
      <w:r w:rsidR="003572AB" w:rsidRPr="00980644">
        <w:t>H</w:t>
      </w:r>
      <w:r w:rsidR="00B70D34" w:rsidRPr="00980644">
        <w:t xml:space="preserve">ill analysis of the chloride efflux </w:t>
      </w:r>
      <w:r w:rsidR="003572AB" w:rsidRPr="00980644">
        <w:t>observed</w:t>
      </w:r>
      <w:r w:rsidR="00B70D34" w:rsidRPr="00980644">
        <w:t xml:space="preserve"> a</w:t>
      </w:r>
      <w:r w:rsidR="002C2D06" w:rsidRPr="00980644">
        <w:t>t</w:t>
      </w:r>
      <w:r w:rsidR="00B70D34" w:rsidRPr="00980644">
        <w:t xml:space="preserve"> 300 seconds and the calculation of the EC</w:t>
      </w:r>
      <w:r w:rsidR="00B70D34" w:rsidRPr="00980644">
        <w:rPr>
          <w:vertAlign w:val="subscript"/>
        </w:rPr>
        <w:t>50</w:t>
      </w:r>
      <w:r w:rsidR="00B70D34" w:rsidRPr="00980644">
        <w:t xml:space="preserve"> and Hill parameter </w:t>
      </w:r>
      <w:r w:rsidR="00B70D34" w:rsidRPr="00980644">
        <w:rPr>
          <w:i/>
          <w:iCs/>
        </w:rPr>
        <w:t>n</w:t>
      </w:r>
      <w:r w:rsidR="00B70D34" w:rsidRPr="00980644">
        <w:t>. EC</w:t>
      </w:r>
      <w:r w:rsidR="00B70D34" w:rsidRPr="00980644">
        <w:rPr>
          <w:vertAlign w:val="subscript"/>
        </w:rPr>
        <w:t xml:space="preserve">50 </w:t>
      </w:r>
      <w:r w:rsidR="00B70D34" w:rsidRPr="00980644">
        <w:t xml:space="preserve">represents the concentration needed to </w:t>
      </w:r>
      <w:r w:rsidR="003572AB" w:rsidRPr="00980644">
        <w:t>elicit</w:t>
      </w:r>
      <w:r w:rsidR="00B70D34" w:rsidRPr="00980644">
        <w:t xml:space="preserve"> 50% chloride release under the conditions explored. A representative </w:t>
      </w:r>
      <w:r w:rsidR="00ED01DE" w:rsidRPr="00980644">
        <w:t>example is shown in Figure 3.</w:t>
      </w:r>
    </w:p>
    <w:p w14:paraId="4F5A704C" w14:textId="0DBA86CF" w:rsidR="000C7A41" w:rsidRPr="00980644" w:rsidRDefault="000C7A41" w:rsidP="00CC55C7">
      <w:pPr>
        <w:pStyle w:val="Newparagraph"/>
        <w:ind w:firstLine="0"/>
        <w:jc w:val="both"/>
      </w:pPr>
      <w:r w:rsidRPr="00980644">
        <w:rPr>
          <w:noProof/>
        </w:rPr>
        <w:drawing>
          <wp:inline distT="0" distB="0" distL="0" distR="0" wp14:anchorId="2FA91B12" wp14:editId="362D9504">
            <wp:extent cx="5358765" cy="20300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8765" cy="2030095"/>
                    </a:xfrm>
                    <a:prstGeom prst="rect">
                      <a:avLst/>
                    </a:prstGeom>
                    <a:noFill/>
                  </pic:spPr>
                </pic:pic>
              </a:graphicData>
            </a:graphic>
          </wp:inline>
        </w:drawing>
      </w:r>
    </w:p>
    <w:p w14:paraId="60624A06" w14:textId="4BAEC306" w:rsidR="00ED01DE" w:rsidRPr="00980644" w:rsidRDefault="00ED01DE" w:rsidP="000A469F">
      <w:pPr>
        <w:pStyle w:val="Figurecaption"/>
        <w:spacing w:before="0"/>
        <w:jc w:val="both"/>
      </w:pPr>
      <w:r w:rsidRPr="00980644">
        <w:rPr>
          <w:b/>
        </w:rPr>
        <w:t>Figure 3</w:t>
      </w:r>
      <w:r w:rsidRPr="00980644">
        <w:t xml:space="preserve">. Chloride efflux promoted by </w:t>
      </w:r>
      <w:r w:rsidRPr="00980644">
        <w:rPr>
          <w:b/>
        </w:rPr>
        <w:t>1</w:t>
      </w:r>
      <w:r w:rsidRPr="00980644">
        <w:t xml:space="preserve"> at different concentrations in unilamellar POPC vesicles containing</w:t>
      </w:r>
      <w:r w:rsidR="001E1F38" w:rsidRPr="00980644">
        <w:t xml:space="preserve"> a</w:t>
      </w:r>
      <w:r w:rsidRPr="00980644">
        <w:t xml:space="preserve"> NaCl</w:t>
      </w:r>
      <w:r w:rsidR="001E1F38" w:rsidRPr="00980644">
        <w:t xml:space="preserve"> solution</w:t>
      </w:r>
      <w:r w:rsidRPr="00980644">
        <w:t xml:space="preserve"> (489 mM NaCl and 5 mM </w:t>
      </w:r>
      <w:r w:rsidR="001E1F38" w:rsidRPr="00980644">
        <w:t>NaH</w:t>
      </w:r>
      <w:r w:rsidR="001E1F38" w:rsidRPr="00980644">
        <w:rPr>
          <w:vertAlign w:val="subscript"/>
        </w:rPr>
        <w:t>2</w:t>
      </w:r>
      <w:r w:rsidR="001E1F38" w:rsidRPr="00980644">
        <w:t>PO</w:t>
      </w:r>
      <w:r w:rsidR="001E1F38" w:rsidRPr="00980644">
        <w:rPr>
          <w:vertAlign w:val="subscript"/>
        </w:rPr>
        <w:t>4</w:t>
      </w:r>
      <w:r w:rsidRPr="00980644">
        <w:t>, pH 7.2). Left: vesicles were suspended in an isotonic NaNO</w:t>
      </w:r>
      <w:r w:rsidRPr="00980644">
        <w:rPr>
          <w:vertAlign w:val="subscript"/>
        </w:rPr>
        <w:t>3</w:t>
      </w:r>
      <w:r w:rsidRPr="00980644">
        <w:t xml:space="preserve"> solution (489 mM NaNO</w:t>
      </w:r>
      <w:r w:rsidRPr="00980644">
        <w:rPr>
          <w:vertAlign w:val="subscript"/>
        </w:rPr>
        <w:t>3</w:t>
      </w:r>
      <w:r w:rsidRPr="00980644">
        <w:t xml:space="preserve"> and 5 mM </w:t>
      </w:r>
      <w:r w:rsidR="001E1F38" w:rsidRPr="00980644">
        <w:t>NaH</w:t>
      </w:r>
      <w:r w:rsidR="001E1F38" w:rsidRPr="00980644">
        <w:rPr>
          <w:vertAlign w:val="subscript"/>
        </w:rPr>
        <w:t>2</w:t>
      </w:r>
      <w:r w:rsidR="001E1F38" w:rsidRPr="00980644">
        <w:t>PO</w:t>
      </w:r>
      <w:r w:rsidR="001E1F38" w:rsidRPr="00980644">
        <w:rPr>
          <w:vertAlign w:val="subscript"/>
        </w:rPr>
        <w:t>4</w:t>
      </w:r>
      <w:r w:rsidRPr="00980644">
        <w:t xml:space="preserve">, pH 7.2). Right: vesicles were suspended in an isotonic </w:t>
      </w:r>
      <w:r w:rsidRPr="00980644">
        <w:rPr>
          <w:rFonts w:cs="Arial"/>
        </w:rPr>
        <w:t>Na</w:t>
      </w:r>
      <w:r w:rsidRPr="00980644">
        <w:rPr>
          <w:rFonts w:cs="Arial"/>
          <w:vertAlign w:val="subscript"/>
        </w:rPr>
        <w:t>2</w:t>
      </w:r>
      <w:r w:rsidRPr="00980644">
        <w:rPr>
          <w:rFonts w:cs="Arial"/>
        </w:rPr>
        <w:t>SO</w:t>
      </w:r>
      <w:r w:rsidRPr="00980644">
        <w:rPr>
          <w:rFonts w:cs="Arial"/>
          <w:vertAlign w:val="subscript"/>
        </w:rPr>
        <w:t>4</w:t>
      </w:r>
      <w:r w:rsidRPr="00980644">
        <w:rPr>
          <w:rFonts w:cs="Arial"/>
        </w:rPr>
        <w:t>/NaHCO</w:t>
      </w:r>
      <w:r w:rsidRPr="00980644">
        <w:rPr>
          <w:rFonts w:cs="Arial"/>
          <w:vertAlign w:val="subscript"/>
        </w:rPr>
        <w:t>3</w:t>
      </w:r>
      <w:r w:rsidRPr="00980644">
        <w:rPr>
          <w:rFonts w:cs="Arial"/>
        </w:rPr>
        <w:t xml:space="preserve"> </w:t>
      </w:r>
      <w:r w:rsidRPr="00980644">
        <w:t xml:space="preserve">solution </w:t>
      </w:r>
      <w:r w:rsidRPr="00980644">
        <w:rPr>
          <w:rFonts w:cs="Arial"/>
        </w:rPr>
        <w:t>(150 mM Na</w:t>
      </w:r>
      <w:r w:rsidRPr="00980644">
        <w:rPr>
          <w:rFonts w:cs="Arial"/>
          <w:vertAlign w:val="subscript"/>
        </w:rPr>
        <w:t>2</w:t>
      </w:r>
      <w:r w:rsidRPr="00980644">
        <w:rPr>
          <w:rFonts w:cs="Arial"/>
        </w:rPr>
        <w:t>SO</w:t>
      </w:r>
      <w:r w:rsidRPr="00980644">
        <w:rPr>
          <w:rFonts w:cs="Arial"/>
          <w:vertAlign w:val="subscript"/>
        </w:rPr>
        <w:t>4</w:t>
      </w:r>
      <w:r w:rsidRPr="00980644">
        <w:rPr>
          <w:rFonts w:cs="Arial"/>
        </w:rPr>
        <w:t>, 40 mM HCO</w:t>
      </w:r>
      <w:r w:rsidRPr="00980644">
        <w:rPr>
          <w:rFonts w:cs="Arial"/>
          <w:vertAlign w:val="subscript"/>
        </w:rPr>
        <w:t>3</w:t>
      </w:r>
      <w:r w:rsidRPr="00980644">
        <w:rPr>
          <w:rFonts w:cs="Arial"/>
          <w:vertAlign w:val="superscript"/>
        </w:rPr>
        <w:t>–</w:t>
      </w:r>
      <w:r w:rsidRPr="00980644">
        <w:rPr>
          <w:rFonts w:cs="Arial"/>
        </w:rPr>
        <w:t xml:space="preserve"> and 20 mM </w:t>
      </w:r>
      <w:r w:rsidR="001E1F38" w:rsidRPr="00980644">
        <w:t>NaH</w:t>
      </w:r>
      <w:r w:rsidR="001E1F38" w:rsidRPr="00980644">
        <w:rPr>
          <w:vertAlign w:val="subscript"/>
        </w:rPr>
        <w:t>2</w:t>
      </w:r>
      <w:r w:rsidR="001E1F38" w:rsidRPr="00980644">
        <w:t>PO</w:t>
      </w:r>
      <w:r w:rsidR="001E1F38" w:rsidRPr="00980644">
        <w:rPr>
          <w:vertAlign w:val="subscript"/>
        </w:rPr>
        <w:t>4</w:t>
      </w:r>
      <w:r w:rsidRPr="00980644">
        <w:rPr>
          <w:rFonts w:cs="Arial"/>
        </w:rPr>
        <w:t xml:space="preserve">, pH 7.2). </w:t>
      </w:r>
      <w:r w:rsidRPr="00980644">
        <w:t xml:space="preserve">Each trace represents </w:t>
      </w:r>
      <w:r w:rsidR="005A6E37" w:rsidRPr="00980644">
        <w:t>the</w:t>
      </w:r>
      <w:r w:rsidRPr="00980644">
        <w:t xml:space="preserve"> average of at least three different experiments</w:t>
      </w:r>
      <w:r w:rsidR="001E1F38" w:rsidRPr="00980644">
        <w:t>, performed with three batches of vesicles.</w:t>
      </w:r>
    </w:p>
    <w:p w14:paraId="35BEC337" w14:textId="6F6236F1" w:rsidR="00ED01DE" w:rsidRPr="00980644" w:rsidRDefault="00ED01DE" w:rsidP="00CC55C7">
      <w:pPr>
        <w:pStyle w:val="Descripcin"/>
        <w:keepNext/>
        <w:spacing w:before="240" w:after="0"/>
        <w:jc w:val="both"/>
        <w:rPr>
          <w:rFonts w:ascii="Times New Roman" w:hAnsi="Times New Roman" w:cs="Times New Roman"/>
          <w:i w:val="0"/>
          <w:iCs w:val="0"/>
          <w:color w:val="auto"/>
          <w:sz w:val="24"/>
          <w:szCs w:val="24"/>
          <w:lang w:val="en-GB"/>
        </w:rPr>
      </w:pPr>
      <w:bookmarkStart w:id="9" w:name="_Ref64205088"/>
      <w:bookmarkStart w:id="10" w:name="_Ref64205084"/>
      <w:bookmarkStart w:id="11" w:name="_Hlk90040844"/>
      <w:r w:rsidRPr="00980644">
        <w:rPr>
          <w:rFonts w:ascii="Times New Roman" w:hAnsi="Times New Roman" w:cs="Times New Roman"/>
          <w:b/>
          <w:bCs/>
          <w:i w:val="0"/>
          <w:iCs w:val="0"/>
          <w:color w:val="auto"/>
          <w:sz w:val="24"/>
          <w:szCs w:val="24"/>
          <w:lang w:val="en-GB"/>
        </w:rPr>
        <w:t>Table 1</w:t>
      </w:r>
      <w:bookmarkEnd w:id="9"/>
      <w:r w:rsidRPr="00980644">
        <w:rPr>
          <w:rFonts w:ascii="Times New Roman" w:hAnsi="Times New Roman" w:cs="Times New Roman"/>
          <w:b/>
          <w:bCs/>
          <w:i w:val="0"/>
          <w:iCs w:val="0"/>
          <w:color w:val="auto"/>
          <w:sz w:val="24"/>
          <w:szCs w:val="24"/>
          <w:lang w:val="en-GB"/>
        </w:rPr>
        <w:t>.</w:t>
      </w:r>
      <w:r w:rsidRPr="00980644">
        <w:rPr>
          <w:rFonts w:ascii="Times New Roman" w:hAnsi="Times New Roman" w:cs="Times New Roman"/>
          <w:i w:val="0"/>
          <w:iCs w:val="0"/>
          <w:color w:val="auto"/>
          <w:sz w:val="24"/>
          <w:szCs w:val="24"/>
          <w:lang w:val="en-GB"/>
        </w:rPr>
        <w:t xml:space="preserve"> Summary of the transport activity calculated </w:t>
      </w:r>
      <w:r w:rsidRPr="00980644">
        <w:rPr>
          <w:rFonts w:ascii="Times New Roman" w:eastAsia="Times New Roman" w:hAnsi="Times New Roman" w:cs="Times New Roman"/>
          <w:bCs/>
          <w:i w:val="0"/>
          <w:iCs w:val="0"/>
          <w:color w:val="auto"/>
          <w:sz w:val="24"/>
          <w:szCs w:val="22"/>
          <w:lang w:val="en-GB" w:eastAsia="es-ES"/>
        </w:rPr>
        <w:t xml:space="preserve">for </w:t>
      </w:r>
      <w:r w:rsidRPr="00980644">
        <w:rPr>
          <w:rFonts w:ascii="Times New Roman" w:eastAsia="Times New Roman" w:hAnsi="Times New Roman" w:cs="Times New Roman"/>
          <w:b/>
          <w:bCs/>
          <w:i w:val="0"/>
          <w:iCs w:val="0"/>
          <w:color w:val="auto"/>
          <w:sz w:val="24"/>
          <w:szCs w:val="22"/>
          <w:lang w:val="en-GB" w:eastAsia="es-ES"/>
        </w:rPr>
        <w:t>1</w:t>
      </w:r>
      <w:r w:rsidR="00894AE7" w:rsidRPr="00980644">
        <w:rPr>
          <w:rFonts w:ascii="Times New Roman" w:hAnsi="Times New Roman" w:cs="Times New Roman"/>
          <w:i w:val="0"/>
          <w:iCs w:val="0"/>
          <w:color w:val="auto"/>
          <w:sz w:val="24"/>
          <w:szCs w:val="24"/>
          <w:lang w:val="en-GB"/>
        </w:rPr>
        <w:t>-</w:t>
      </w:r>
      <w:r w:rsidRPr="00980644">
        <w:rPr>
          <w:rFonts w:ascii="Times New Roman" w:hAnsi="Times New Roman" w:cs="Times New Roman"/>
          <w:b/>
          <w:i w:val="0"/>
          <w:iCs w:val="0"/>
          <w:color w:val="auto"/>
          <w:sz w:val="24"/>
          <w:szCs w:val="24"/>
          <w:lang w:val="en-GB"/>
        </w:rPr>
        <w:t>3</w:t>
      </w:r>
      <w:r w:rsidRPr="00980644">
        <w:rPr>
          <w:rFonts w:ascii="Times New Roman" w:hAnsi="Times New Roman" w:cs="Times New Roman"/>
          <w:i w:val="0"/>
          <w:iCs w:val="0"/>
          <w:color w:val="auto"/>
          <w:sz w:val="24"/>
          <w:szCs w:val="24"/>
          <w:lang w:val="en-GB"/>
        </w:rPr>
        <w:t xml:space="preserve"> in the different assays.</w:t>
      </w:r>
      <w:bookmarkEnd w:id="10"/>
    </w:p>
    <w:tbl>
      <w:tblPr>
        <w:tblW w:w="5000" w:type="pct"/>
        <w:jc w:val="right"/>
        <w:tblLayout w:type="fixed"/>
        <w:tblCellMar>
          <w:left w:w="70" w:type="dxa"/>
          <w:right w:w="70" w:type="dxa"/>
        </w:tblCellMar>
        <w:tblLook w:val="04A0" w:firstRow="1" w:lastRow="0" w:firstColumn="1" w:lastColumn="0" w:noHBand="0" w:noVBand="1"/>
      </w:tblPr>
      <w:tblGrid>
        <w:gridCol w:w="1134"/>
        <w:gridCol w:w="1277"/>
        <w:gridCol w:w="1418"/>
        <w:gridCol w:w="1134"/>
        <w:gridCol w:w="1134"/>
        <w:gridCol w:w="1273"/>
        <w:gridCol w:w="1129"/>
      </w:tblGrid>
      <w:tr w:rsidR="00B939A8" w:rsidRPr="00980644" w14:paraId="65B7ED7F" w14:textId="77777777" w:rsidTr="00B939A8">
        <w:trPr>
          <w:trHeight w:val="290"/>
          <w:jc w:val="right"/>
        </w:trPr>
        <w:tc>
          <w:tcPr>
            <w:tcW w:w="667" w:type="pct"/>
            <w:tcBorders>
              <w:top w:val="double" w:sz="4" w:space="0" w:color="auto"/>
              <w:bottom w:val="double" w:sz="4" w:space="0" w:color="auto"/>
            </w:tcBorders>
            <w:shd w:val="clear" w:color="auto" w:fill="D9D9D9" w:themeFill="background1" w:themeFillShade="D9"/>
            <w:noWrap/>
            <w:vAlign w:val="center"/>
            <w:hideMark/>
          </w:tcPr>
          <w:p w14:paraId="7253D232" w14:textId="77777777" w:rsidR="00282311" w:rsidRPr="00980644" w:rsidRDefault="00282311" w:rsidP="000A469F">
            <w:pPr>
              <w:spacing w:line="240" w:lineRule="auto"/>
              <w:jc w:val="center"/>
              <w:rPr>
                <w:b/>
                <w:sz w:val="18"/>
                <w:szCs w:val="18"/>
                <w:lang w:eastAsia="es-ES"/>
              </w:rPr>
            </w:pPr>
            <w:r w:rsidRPr="00980644">
              <w:rPr>
                <w:b/>
                <w:sz w:val="18"/>
                <w:szCs w:val="18"/>
                <w:lang w:eastAsia="es-ES"/>
              </w:rPr>
              <w:t>Compound</w:t>
            </w:r>
          </w:p>
        </w:tc>
        <w:tc>
          <w:tcPr>
            <w:tcW w:w="751" w:type="pct"/>
            <w:tcBorders>
              <w:top w:val="double" w:sz="4" w:space="0" w:color="auto"/>
              <w:left w:val="nil"/>
              <w:bottom w:val="double" w:sz="4" w:space="0" w:color="auto"/>
            </w:tcBorders>
            <w:shd w:val="clear" w:color="auto" w:fill="D9D9D9" w:themeFill="background1" w:themeFillShade="D9"/>
            <w:noWrap/>
            <w:vAlign w:val="center"/>
            <w:hideMark/>
          </w:tcPr>
          <w:p w14:paraId="14B3B15E" w14:textId="1D3AEE46" w:rsidR="00282311" w:rsidRPr="00980644" w:rsidRDefault="00282311" w:rsidP="000A469F">
            <w:pPr>
              <w:spacing w:line="240" w:lineRule="auto"/>
              <w:jc w:val="center"/>
              <w:rPr>
                <w:b/>
                <w:sz w:val="18"/>
                <w:szCs w:val="18"/>
                <w:lang w:eastAsia="es-ES"/>
              </w:rPr>
            </w:pPr>
            <w:r w:rsidRPr="00980644">
              <w:rPr>
                <w:b/>
                <w:sz w:val="18"/>
                <w:szCs w:val="18"/>
                <w:lang w:eastAsia="es-ES"/>
              </w:rPr>
              <w:t>EC</w:t>
            </w:r>
            <w:r w:rsidRPr="00980644">
              <w:rPr>
                <w:b/>
                <w:sz w:val="18"/>
                <w:szCs w:val="18"/>
                <w:vertAlign w:val="subscript"/>
                <w:lang w:eastAsia="es-ES"/>
              </w:rPr>
              <w:t>50</w:t>
            </w:r>
            <w:r w:rsidRPr="00980644">
              <w:rPr>
                <w:b/>
                <w:sz w:val="18"/>
                <w:szCs w:val="18"/>
                <w:lang w:eastAsia="es-ES"/>
              </w:rPr>
              <w:t xml:space="preserve"> (</w:t>
            </w:r>
            <w:r w:rsidRPr="00980644">
              <w:rPr>
                <w:rFonts w:ascii="Symbol" w:hAnsi="Symbol"/>
                <w:b/>
                <w:sz w:val="18"/>
                <w:szCs w:val="18"/>
                <w:lang w:eastAsia="es-ES"/>
              </w:rPr>
              <w:t></w:t>
            </w:r>
            <w:r w:rsidRPr="00980644">
              <w:rPr>
                <w:b/>
                <w:sz w:val="18"/>
                <w:szCs w:val="18"/>
                <w:lang w:eastAsia="es-ES"/>
              </w:rPr>
              <w:t>M)</w:t>
            </w:r>
          </w:p>
          <w:p w14:paraId="4CA81786" w14:textId="6C468624" w:rsidR="00282311" w:rsidRPr="00980644" w:rsidRDefault="00282311" w:rsidP="000A469F">
            <w:pPr>
              <w:spacing w:line="240" w:lineRule="auto"/>
              <w:jc w:val="center"/>
              <w:rPr>
                <w:b/>
                <w:sz w:val="18"/>
                <w:szCs w:val="18"/>
                <w:lang w:eastAsia="es-ES"/>
              </w:rPr>
            </w:pPr>
            <w:r w:rsidRPr="00980644">
              <w:rPr>
                <w:b/>
                <w:sz w:val="18"/>
                <w:szCs w:val="18"/>
              </w:rPr>
              <w:t>NO</w:t>
            </w:r>
            <w:r w:rsidRPr="00980644">
              <w:rPr>
                <w:b/>
                <w:sz w:val="18"/>
                <w:szCs w:val="18"/>
                <w:vertAlign w:val="subscript"/>
              </w:rPr>
              <w:t>3</w:t>
            </w:r>
            <w:r w:rsidRPr="00980644">
              <w:rPr>
                <w:b/>
                <w:sz w:val="18"/>
                <w:szCs w:val="18"/>
                <w:vertAlign w:val="superscript"/>
              </w:rPr>
              <w:t>–</w:t>
            </w:r>
            <w:r w:rsidRPr="00980644">
              <w:rPr>
                <w:b/>
                <w:sz w:val="18"/>
                <w:szCs w:val="18"/>
              </w:rPr>
              <w:t>/Cl</w:t>
            </w:r>
            <w:r w:rsidRPr="00980644">
              <w:rPr>
                <w:b/>
                <w:sz w:val="18"/>
                <w:szCs w:val="18"/>
                <w:vertAlign w:val="superscript"/>
              </w:rPr>
              <w:t>–</w:t>
            </w:r>
          </w:p>
        </w:tc>
        <w:tc>
          <w:tcPr>
            <w:tcW w:w="834" w:type="pct"/>
            <w:tcBorders>
              <w:top w:val="double" w:sz="4" w:space="0" w:color="auto"/>
              <w:left w:val="nil"/>
              <w:bottom w:val="double" w:sz="4" w:space="0" w:color="auto"/>
              <w:right w:val="nil"/>
            </w:tcBorders>
            <w:shd w:val="clear" w:color="auto" w:fill="D9D9D9" w:themeFill="background1" w:themeFillShade="D9"/>
            <w:vAlign w:val="center"/>
          </w:tcPr>
          <w:p w14:paraId="69100881" w14:textId="2F12CDD8" w:rsidR="00282311" w:rsidRPr="00980644" w:rsidRDefault="00282311" w:rsidP="00282311">
            <w:pPr>
              <w:spacing w:line="240" w:lineRule="auto"/>
              <w:jc w:val="center"/>
              <w:rPr>
                <w:b/>
                <w:sz w:val="18"/>
                <w:szCs w:val="18"/>
                <w:lang w:eastAsia="es-ES"/>
              </w:rPr>
            </w:pPr>
            <w:r w:rsidRPr="00980644">
              <w:rPr>
                <w:b/>
                <w:sz w:val="18"/>
                <w:szCs w:val="18"/>
                <w:lang w:eastAsia="es-ES"/>
              </w:rPr>
              <w:t>EC</w:t>
            </w:r>
            <w:r w:rsidRPr="00980644">
              <w:rPr>
                <w:b/>
                <w:sz w:val="18"/>
                <w:szCs w:val="18"/>
                <w:vertAlign w:val="subscript"/>
                <w:lang w:eastAsia="es-ES"/>
              </w:rPr>
              <w:t>50</w:t>
            </w:r>
            <w:r w:rsidRPr="00980644">
              <w:rPr>
                <w:b/>
                <w:sz w:val="18"/>
                <w:szCs w:val="18"/>
                <w:lang w:eastAsia="es-ES"/>
              </w:rPr>
              <w:t xml:space="preserve"> (mol%)</w:t>
            </w:r>
          </w:p>
          <w:p w14:paraId="0A213432" w14:textId="478C3B20" w:rsidR="00282311" w:rsidRPr="00980644" w:rsidRDefault="00282311" w:rsidP="00282311">
            <w:pPr>
              <w:spacing w:line="240" w:lineRule="auto"/>
              <w:jc w:val="center"/>
              <w:rPr>
                <w:b/>
                <w:sz w:val="18"/>
                <w:szCs w:val="18"/>
                <w:lang w:eastAsia="es-ES"/>
              </w:rPr>
            </w:pPr>
            <w:r w:rsidRPr="00980644">
              <w:rPr>
                <w:b/>
                <w:sz w:val="18"/>
                <w:szCs w:val="18"/>
              </w:rPr>
              <w:t>NO</w:t>
            </w:r>
            <w:r w:rsidRPr="00980644">
              <w:rPr>
                <w:b/>
                <w:sz w:val="18"/>
                <w:szCs w:val="18"/>
                <w:vertAlign w:val="subscript"/>
              </w:rPr>
              <w:t>3</w:t>
            </w:r>
            <w:r w:rsidRPr="00980644">
              <w:rPr>
                <w:b/>
                <w:sz w:val="18"/>
                <w:szCs w:val="18"/>
                <w:vertAlign w:val="superscript"/>
              </w:rPr>
              <w:t>–</w:t>
            </w:r>
            <w:r w:rsidRPr="00980644">
              <w:rPr>
                <w:b/>
                <w:sz w:val="18"/>
                <w:szCs w:val="18"/>
              </w:rPr>
              <w:t>/Cl</w:t>
            </w:r>
            <w:r w:rsidRPr="00980644">
              <w:rPr>
                <w:b/>
                <w:sz w:val="18"/>
                <w:szCs w:val="18"/>
                <w:vertAlign w:val="superscript"/>
              </w:rPr>
              <w:t>–</w:t>
            </w:r>
          </w:p>
        </w:tc>
        <w:tc>
          <w:tcPr>
            <w:tcW w:w="667" w:type="pct"/>
            <w:tcBorders>
              <w:top w:val="double" w:sz="4" w:space="0" w:color="auto"/>
              <w:left w:val="nil"/>
              <w:bottom w:val="double" w:sz="4" w:space="0" w:color="auto"/>
            </w:tcBorders>
            <w:shd w:val="clear" w:color="auto" w:fill="D9D9D9" w:themeFill="background1" w:themeFillShade="D9"/>
            <w:noWrap/>
            <w:vAlign w:val="center"/>
            <w:hideMark/>
          </w:tcPr>
          <w:p w14:paraId="679B483E" w14:textId="4E897382" w:rsidR="00282311" w:rsidRPr="00980644" w:rsidRDefault="00282311" w:rsidP="000A469F">
            <w:pPr>
              <w:spacing w:line="240" w:lineRule="auto"/>
              <w:jc w:val="center"/>
              <w:rPr>
                <w:b/>
                <w:sz w:val="18"/>
                <w:szCs w:val="18"/>
                <w:lang w:eastAsia="es-ES"/>
              </w:rPr>
            </w:pPr>
            <w:r w:rsidRPr="00980644">
              <w:rPr>
                <w:b/>
                <w:sz w:val="18"/>
                <w:szCs w:val="18"/>
                <w:lang w:eastAsia="es-ES"/>
              </w:rPr>
              <w:t xml:space="preserve">Hill parameter, </w:t>
            </w:r>
            <w:r w:rsidRPr="00980644">
              <w:rPr>
                <w:b/>
                <w:i/>
                <w:iCs/>
                <w:sz w:val="18"/>
                <w:szCs w:val="18"/>
                <w:lang w:eastAsia="es-ES"/>
              </w:rPr>
              <w:t>n</w:t>
            </w:r>
          </w:p>
          <w:p w14:paraId="4B2F6730" w14:textId="033338E7" w:rsidR="00282311" w:rsidRPr="00980644" w:rsidRDefault="00282311" w:rsidP="000A469F">
            <w:pPr>
              <w:spacing w:line="240" w:lineRule="auto"/>
              <w:jc w:val="center"/>
              <w:rPr>
                <w:b/>
                <w:sz w:val="18"/>
                <w:szCs w:val="18"/>
                <w:lang w:eastAsia="es-ES"/>
              </w:rPr>
            </w:pPr>
            <w:r w:rsidRPr="00980644">
              <w:rPr>
                <w:b/>
                <w:sz w:val="18"/>
                <w:szCs w:val="18"/>
              </w:rPr>
              <w:t>NO</w:t>
            </w:r>
            <w:r w:rsidRPr="00980644">
              <w:rPr>
                <w:b/>
                <w:sz w:val="18"/>
                <w:szCs w:val="18"/>
                <w:vertAlign w:val="subscript"/>
              </w:rPr>
              <w:t>3</w:t>
            </w:r>
            <w:r w:rsidRPr="00980644">
              <w:rPr>
                <w:b/>
                <w:sz w:val="18"/>
                <w:szCs w:val="18"/>
                <w:vertAlign w:val="superscript"/>
              </w:rPr>
              <w:t>–</w:t>
            </w:r>
            <w:r w:rsidRPr="00980644">
              <w:rPr>
                <w:b/>
                <w:sz w:val="18"/>
                <w:szCs w:val="18"/>
              </w:rPr>
              <w:t>/Cl</w:t>
            </w:r>
            <w:r w:rsidRPr="00980644">
              <w:rPr>
                <w:b/>
                <w:sz w:val="18"/>
                <w:szCs w:val="18"/>
                <w:vertAlign w:val="superscript"/>
              </w:rPr>
              <w:t>–</w:t>
            </w:r>
          </w:p>
        </w:tc>
        <w:tc>
          <w:tcPr>
            <w:tcW w:w="667" w:type="pct"/>
            <w:tcBorders>
              <w:top w:val="double" w:sz="4" w:space="0" w:color="auto"/>
              <w:left w:val="nil"/>
              <w:bottom w:val="double" w:sz="4" w:space="0" w:color="auto"/>
            </w:tcBorders>
            <w:shd w:val="clear" w:color="auto" w:fill="D9D9D9" w:themeFill="background1" w:themeFillShade="D9"/>
            <w:noWrap/>
            <w:vAlign w:val="center"/>
            <w:hideMark/>
          </w:tcPr>
          <w:p w14:paraId="74966F28" w14:textId="1E047F51" w:rsidR="00282311" w:rsidRPr="00980644" w:rsidRDefault="00282311" w:rsidP="000A469F">
            <w:pPr>
              <w:spacing w:line="240" w:lineRule="auto"/>
              <w:jc w:val="center"/>
              <w:rPr>
                <w:b/>
                <w:sz w:val="18"/>
                <w:szCs w:val="18"/>
                <w:lang w:eastAsia="es-ES"/>
              </w:rPr>
            </w:pPr>
            <w:r w:rsidRPr="00980644">
              <w:rPr>
                <w:b/>
                <w:sz w:val="18"/>
                <w:szCs w:val="18"/>
                <w:lang w:eastAsia="es-ES"/>
              </w:rPr>
              <w:t>EC</w:t>
            </w:r>
            <w:r w:rsidRPr="00980644">
              <w:rPr>
                <w:b/>
                <w:sz w:val="18"/>
                <w:szCs w:val="18"/>
                <w:vertAlign w:val="subscript"/>
                <w:lang w:eastAsia="es-ES"/>
              </w:rPr>
              <w:t>50</w:t>
            </w:r>
            <w:r w:rsidRPr="00980644">
              <w:rPr>
                <w:b/>
                <w:sz w:val="18"/>
                <w:szCs w:val="18"/>
                <w:lang w:eastAsia="es-ES"/>
              </w:rPr>
              <w:t xml:space="preserve"> (</w:t>
            </w:r>
            <w:r w:rsidRPr="00980644">
              <w:rPr>
                <w:rFonts w:ascii="Symbol" w:hAnsi="Symbol"/>
                <w:b/>
                <w:sz w:val="18"/>
                <w:szCs w:val="18"/>
                <w:lang w:eastAsia="es-ES"/>
              </w:rPr>
              <w:t></w:t>
            </w:r>
            <w:r w:rsidRPr="00980644">
              <w:rPr>
                <w:b/>
                <w:sz w:val="18"/>
                <w:szCs w:val="18"/>
                <w:lang w:eastAsia="es-ES"/>
              </w:rPr>
              <w:t>M)</w:t>
            </w:r>
          </w:p>
          <w:p w14:paraId="4A333FC0" w14:textId="16C7D485" w:rsidR="00282311" w:rsidRPr="00980644" w:rsidRDefault="00282311" w:rsidP="000A469F">
            <w:pPr>
              <w:spacing w:line="240" w:lineRule="auto"/>
              <w:jc w:val="center"/>
              <w:rPr>
                <w:b/>
                <w:sz w:val="18"/>
                <w:szCs w:val="18"/>
                <w:lang w:eastAsia="es-ES"/>
              </w:rPr>
            </w:pPr>
            <w:r w:rsidRPr="00980644">
              <w:rPr>
                <w:b/>
                <w:sz w:val="18"/>
                <w:szCs w:val="18"/>
              </w:rPr>
              <w:t>HCO</w:t>
            </w:r>
            <w:r w:rsidRPr="00980644">
              <w:rPr>
                <w:b/>
                <w:sz w:val="18"/>
                <w:szCs w:val="18"/>
                <w:vertAlign w:val="subscript"/>
              </w:rPr>
              <w:t>3</w:t>
            </w:r>
            <w:r w:rsidRPr="00980644">
              <w:rPr>
                <w:b/>
                <w:sz w:val="18"/>
                <w:szCs w:val="18"/>
                <w:vertAlign w:val="superscript"/>
              </w:rPr>
              <w:t>–</w:t>
            </w:r>
            <w:r w:rsidRPr="00980644">
              <w:rPr>
                <w:b/>
                <w:sz w:val="18"/>
                <w:szCs w:val="18"/>
              </w:rPr>
              <w:t>/Cl</w:t>
            </w:r>
            <w:r w:rsidRPr="00980644">
              <w:rPr>
                <w:b/>
                <w:sz w:val="18"/>
                <w:szCs w:val="18"/>
                <w:vertAlign w:val="superscript"/>
              </w:rPr>
              <w:t>–</w:t>
            </w:r>
          </w:p>
        </w:tc>
        <w:tc>
          <w:tcPr>
            <w:tcW w:w="749" w:type="pct"/>
            <w:tcBorders>
              <w:top w:val="double" w:sz="4" w:space="0" w:color="auto"/>
              <w:left w:val="nil"/>
              <w:bottom w:val="double" w:sz="4" w:space="0" w:color="auto"/>
              <w:right w:val="nil"/>
            </w:tcBorders>
            <w:shd w:val="clear" w:color="auto" w:fill="D9D9D9" w:themeFill="background1" w:themeFillShade="D9"/>
            <w:vAlign w:val="center"/>
          </w:tcPr>
          <w:p w14:paraId="08A06EFA" w14:textId="4381DA3B" w:rsidR="00282311" w:rsidRPr="00980644" w:rsidRDefault="00282311" w:rsidP="00282311">
            <w:pPr>
              <w:spacing w:line="240" w:lineRule="auto"/>
              <w:jc w:val="center"/>
              <w:rPr>
                <w:b/>
                <w:sz w:val="18"/>
                <w:szCs w:val="18"/>
                <w:lang w:eastAsia="es-ES"/>
              </w:rPr>
            </w:pPr>
            <w:r w:rsidRPr="00980644">
              <w:rPr>
                <w:b/>
                <w:sz w:val="18"/>
                <w:szCs w:val="18"/>
                <w:lang w:eastAsia="es-ES"/>
              </w:rPr>
              <w:t>EC</w:t>
            </w:r>
            <w:r w:rsidRPr="00980644">
              <w:rPr>
                <w:b/>
                <w:sz w:val="18"/>
                <w:szCs w:val="18"/>
                <w:vertAlign w:val="subscript"/>
                <w:lang w:eastAsia="es-ES"/>
              </w:rPr>
              <w:t>50</w:t>
            </w:r>
            <w:r w:rsidRPr="00980644">
              <w:rPr>
                <w:b/>
                <w:sz w:val="18"/>
                <w:szCs w:val="18"/>
                <w:lang w:eastAsia="es-ES"/>
              </w:rPr>
              <w:t xml:space="preserve"> </w:t>
            </w:r>
            <w:r w:rsidR="001557CF" w:rsidRPr="00980644">
              <w:rPr>
                <w:b/>
                <w:sz w:val="18"/>
                <w:szCs w:val="18"/>
                <w:lang w:eastAsia="es-ES"/>
              </w:rPr>
              <w:t>(mol%</w:t>
            </w:r>
            <w:r w:rsidRPr="00980644">
              <w:rPr>
                <w:b/>
                <w:sz w:val="18"/>
                <w:szCs w:val="18"/>
                <w:lang w:eastAsia="es-ES"/>
              </w:rPr>
              <w:t>)</w:t>
            </w:r>
          </w:p>
          <w:p w14:paraId="6D96BE7C" w14:textId="0DCE1D27" w:rsidR="00282311" w:rsidRPr="00980644" w:rsidRDefault="00282311" w:rsidP="00282311">
            <w:pPr>
              <w:spacing w:line="240" w:lineRule="auto"/>
              <w:jc w:val="center"/>
              <w:rPr>
                <w:b/>
                <w:sz w:val="18"/>
                <w:szCs w:val="18"/>
                <w:lang w:eastAsia="es-ES"/>
              </w:rPr>
            </w:pPr>
            <w:r w:rsidRPr="00980644">
              <w:rPr>
                <w:b/>
                <w:sz w:val="18"/>
                <w:szCs w:val="18"/>
              </w:rPr>
              <w:t>HCO</w:t>
            </w:r>
            <w:r w:rsidRPr="00980644">
              <w:rPr>
                <w:b/>
                <w:sz w:val="18"/>
                <w:szCs w:val="18"/>
                <w:vertAlign w:val="subscript"/>
              </w:rPr>
              <w:t>3</w:t>
            </w:r>
            <w:r w:rsidRPr="00980644">
              <w:rPr>
                <w:b/>
                <w:sz w:val="18"/>
                <w:szCs w:val="18"/>
                <w:vertAlign w:val="superscript"/>
              </w:rPr>
              <w:t>–</w:t>
            </w:r>
            <w:r w:rsidRPr="00980644">
              <w:rPr>
                <w:b/>
                <w:sz w:val="18"/>
                <w:szCs w:val="18"/>
              </w:rPr>
              <w:t>/Cl</w:t>
            </w:r>
            <w:r w:rsidRPr="00980644">
              <w:rPr>
                <w:b/>
                <w:sz w:val="18"/>
                <w:szCs w:val="18"/>
                <w:vertAlign w:val="superscript"/>
              </w:rPr>
              <w:t>–</w:t>
            </w:r>
          </w:p>
        </w:tc>
        <w:tc>
          <w:tcPr>
            <w:tcW w:w="664" w:type="pct"/>
            <w:tcBorders>
              <w:top w:val="double" w:sz="4" w:space="0" w:color="auto"/>
              <w:left w:val="nil"/>
              <w:bottom w:val="double" w:sz="4" w:space="0" w:color="auto"/>
            </w:tcBorders>
            <w:shd w:val="clear" w:color="auto" w:fill="D9D9D9" w:themeFill="background1" w:themeFillShade="D9"/>
            <w:noWrap/>
            <w:vAlign w:val="center"/>
            <w:hideMark/>
          </w:tcPr>
          <w:p w14:paraId="2B218A15" w14:textId="0DFE3DD5" w:rsidR="00282311" w:rsidRPr="00980644" w:rsidRDefault="00282311" w:rsidP="000A469F">
            <w:pPr>
              <w:spacing w:line="240" w:lineRule="auto"/>
              <w:jc w:val="center"/>
              <w:rPr>
                <w:b/>
                <w:sz w:val="18"/>
                <w:szCs w:val="18"/>
                <w:lang w:eastAsia="es-ES"/>
              </w:rPr>
            </w:pPr>
            <w:r w:rsidRPr="00980644">
              <w:rPr>
                <w:b/>
                <w:sz w:val="18"/>
                <w:szCs w:val="18"/>
                <w:lang w:eastAsia="es-ES"/>
              </w:rPr>
              <w:t xml:space="preserve">Hill parameter, </w:t>
            </w:r>
            <w:r w:rsidRPr="00980644">
              <w:rPr>
                <w:b/>
                <w:i/>
                <w:iCs/>
                <w:sz w:val="18"/>
                <w:szCs w:val="18"/>
                <w:lang w:eastAsia="es-ES"/>
              </w:rPr>
              <w:t>n</w:t>
            </w:r>
          </w:p>
          <w:p w14:paraId="40BB1F98" w14:textId="00335D68" w:rsidR="00282311" w:rsidRPr="00980644" w:rsidRDefault="00282311" w:rsidP="000A469F">
            <w:pPr>
              <w:spacing w:line="240" w:lineRule="auto"/>
              <w:jc w:val="center"/>
              <w:rPr>
                <w:b/>
                <w:sz w:val="18"/>
                <w:szCs w:val="18"/>
                <w:lang w:eastAsia="es-ES"/>
              </w:rPr>
            </w:pPr>
            <w:r w:rsidRPr="00980644">
              <w:rPr>
                <w:b/>
                <w:sz w:val="18"/>
                <w:szCs w:val="18"/>
              </w:rPr>
              <w:t>HCO</w:t>
            </w:r>
            <w:r w:rsidRPr="00980644">
              <w:rPr>
                <w:b/>
                <w:sz w:val="18"/>
                <w:szCs w:val="18"/>
                <w:vertAlign w:val="subscript"/>
              </w:rPr>
              <w:t>3</w:t>
            </w:r>
            <w:r w:rsidRPr="00980644">
              <w:rPr>
                <w:b/>
                <w:sz w:val="18"/>
                <w:szCs w:val="18"/>
                <w:vertAlign w:val="superscript"/>
              </w:rPr>
              <w:t>–</w:t>
            </w:r>
            <w:r w:rsidRPr="00980644">
              <w:rPr>
                <w:b/>
                <w:sz w:val="18"/>
                <w:szCs w:val="18"/>
              </w:rPr>
              <w:t>/Cl</w:t>
            </w:r>
            <w:r w:rsidRPr="00980644">
              <w:rPr>
                <w:b/>
                <w:sz w:val="18"/>
                <w:szCs w:val="18"/>
                <w:vertAlign w:val="superscript"/>
              </w:rPr>
              <w:t>–</w:t>
            </w:r>
          </w:p>
        </w:tc>
      </w:tr>
      <w:tr w:rsidR="001557CF" w:rsidRPr="00980644" w14:paraId="0816112D" w14:textId="77777777" w:rsidTr="00B939A8">
        <w:trPr>
          <w:trHeight w:val="290"/>
          <w:jc w:val="right"/>
        </w:trPr>
        <w:tc>
          <w:tcPr>
            <w:tcW w:w="667" w:type="pct"/>
            <w:tcBorders>
              <w:top w:val="double" w:sz="4" w:space="0" w:color="auto"/>
              <w:bottom w:val="single" w:sz="4" w:space="0" w:color="auto"/>
            </w:tcBorders>
            <w:shd w:val="clear" w:color="auto" w:fill="auto"/>
            <w:noWrap/>
            <w:vAlign w:val="center"/>
            <w:hideMark/>
          </w:tcPr>
          <w:p w14:paraId="5C1F14D3" w14:textId="77777777" w:rsidR="00282311" w:rsidRPr="00980644" w:rsidRDefault="00282311" w:rsidP="000A469F">
            <w:pPr>
              <w:spacing w:line="240" w:lineRule="auto"/>
              <w:jc w:val="center"/>
              <w:rPr>
                <w:b/>
                <w:sz w:val="18"/>
                <w:szCs w:val="18"/>
                <w:lang w:eastAsia="es-ES"/>
              </w:rPr>
            </w:pPr>
            <w:r w:rsidRPr="00980644">
              <w:rPr>
                <w:b/>
                <w:sz w:val="18"/>
                <w:szCs w:val="18"/>
                <w:lang w:eastAsia="es-ES"/>
              </w:rPr>
              <w:t>1</w:t>
            </w:r>
          </w:p>
        </w:tc>
        <w:tc>
          <w:tcPr>
            <w:tcW w:w="751" w:type="pct"/>
            <w:tcBorders>
              <w:top w:val="double" w:sz="4" w:space="0" w:color="auto"/>
              <w:left w:val="nil"/>
              <w:bottom w:val="single" w:sz="4" w:space="0" w:color="auto"/>
            </w:tcBorders>
            <w:shd w:val="clear" w:color="auto" w:fill="auto"/>
            <w:noWrap/>
            <w:vAlign w:val="center"/>
            <w:hideMark/>
          </w:tcPr>
          <w:p w14:paraId="2F6ECDE0" w14:textId="37258EE1" w:rsidR="00282311" w:rsidRPr="00980644" w:rsidRDefault="00282311" w:rsidP="000A469F">
            <w:pPr>
              <w:spacing w:line="240" w:lineRule="auto"/>
              <w:jc w:val="center"/>
              <w:rPr>
                <w:sz w:val="18"/>
                <w:szCs w:val="18"/>
                <w:lang w:eastAsia="es-ES"/>
              </w:rPr>
            </w:pPr>
            <w:r w:rsidRPr="00980644">
              <w:rPr>
                <w:sz w:val="18"/>
                <w:szCs w:val="18"/>
                <w:lang w:eastAsia="es-ES"/>
              </w:rPr>
              <w:t>1.513 ± 0.1</w:t>
            </w:r>
            <w:r w:rsidR="005F1FAC" w:rsidRPr="00980644">
              <w:rPr>
                <w:sz w:val="18"/>
                <w:szCs w:val="18"/>
                <w:lang w:eastAsia="es-ES"/>
              </w:rPr>
              <w:t>66</w:t>
            </w:r>
          </w:p>
        </w:tc>
        <w:tc>
          <w:tcPr>
            <w:tcW w:w="834" w:type="pct"/>
            <w:tcBorders>
              <w:top w:val="double" w:sz="4" w:space="0" w:color="auto"/>
              <w:left w:val="nil"/>
              <w:bottom w:val="single" w:sz="4" w:space="0" w:color="auto"/>
              <w:right w:val="nil"/>
            </w:tcBorders>
            <w:vAlign w:val="center"/>
          </w:tcPr>
          <w:p w14:paraId="35CC5404" w14:textId="2802EDCE" w:rsidR="00282311" w:rsidRPr="00980644" w:rsidRDefault="00282311" w:rsidP="000A469F">
            <w:pPr>
              <w:spacing w:line="240" w:lineRule="auto"/>
              <w:jc w:val="center"/>
              <w:rPr>
                <w:sz w:val="18"/>
                <w:szCs w:val="18"/>
                <w:lang w:eastAsia="es-ES"/>
              </w:rPr>
            </w:pPr>
            <w:r w:rsidRPr="00980644">
              <w:rPr>
                <w:sz w:val="18"/>
                <w:szCs w:val="18"/>
                <w:lang w:eastAsia="es-ES"/>
              </w:rPr>
              <w:t>0.30</w:t>
            </w:r>
            <w:r w:rsidR="00CB4240" w:rsidRPr="00980644">
              <w:rPr>
                <w:sz w:val="18"/>
                <w:szCs w:val="18"/>
                <w:lang w:eastAsia="es-ES"/>
              </w:rPr>
              <w:t>3</w:t>
            </w:r>
            <w:r w:rsidRPr="00980644">
              <w:rPr>
                <w:sz w:val="18"/>
                <w:szCs w:val="18"/>
                <w:lang w:eastAsia="es-ES"/>
              </w:rPr>
              <w:t xml:space="preserve"> ± 0.0</w:t>
            </w:r>
            <w:r w:rsidR="005F1FAC" w:rsidRPr="00980644">
              <w:rPr>
                <w:sz w:val="18"/>
                <w:szCs w:val="18"/>
                <w:lang w:eastAsia="es-ES"/>
              </w:rPr>
              <w:t>3</w:t>
            </w:r>
            <w:r w:rsidRPr="00980644">
              <w:rPr>
                <w:sz w:val="18"/>
                <w:szCs w:val="18"/>
                <w:lang w:eastAsia="es-ES"/>
              </w:rPr>
              <w:t>3</w:t>
            </w:r>
          </w:p>
        </w:tc>
        <w:tc>
          <w:tcPr>
            <w:tcW w:w="667" w:type="pct"/>
            <w:tcBorders>
              <w:top w:val="double" w:sz="4" w:space="0" w:color="auto"/>
              <w:left w:val="nil"/>
              <w:bottom w:val="single" w:sz="4" w:space="0" w:color="auto"/>
            </w:tcBorders>
            <w:shd w:val="clear" w:color="auto" w:fill="auto"/>
            <w:noWrap/>
            <w:vAlign w:val="center"/>
            <w:hideMark/>
          </w:tcPr>
          <w:p w14:paraId="48DCE171" w14:textId="36DC2035" w:rsidR="00282311" w:rsidRPr="00980644" w:rsidRDefault="00282311" w:rsidP="000A469F">
            <w:pPr>
              <w:spacing w:line="240" w:lineRule="auto"/>
              <w:jc w:val="center"/>
              <w:rPr>
                <w:sz w:val="18"/>
                <w:szCs w:val="18"/>
                <w:lang w:eastAsia="es-ES"/>
              </w:rPr>
            </w:pPr>
            <w:r w:rsidRPr="00980644">
              <w:rPr>
                <w:sz w:val="18"/>
                <w:szCs w:val="18"/>
                <w:lang w:eastAsia="es-ES"/>
              </w:rPr>
              <w:t>1.04 ± 0.10</w:t>
            </w:r>
          </w:p>
        </w:tc>
        <w:tc>
          <w:tcPr>
            <w:tcW w:w="667" w:type="pct"/>
            <w:tcBorders>
              <w:top w:val="double" w:sz="4" w:space="0" w:color="auto"/>
              <w:left w:val="nil"/>
              <w:bottom w:val="single" w:sz="4" w:space="0" w:color="auto"/>
            </w:tcBorders>
            <w:shd w:val="clear" w:color="auto" w:fill="auto"/>
            <w:noWrap/>
            <w:vAlign w:val="center"/>
            <w:hideMark/>
          </w:tcPr>
          <w:p w14:paraId="5CC18870" w14:textId="1E549DF4" w:rsidR="00282311" w:rsidRPr="00980644" w:rsidRDefault="00282311" w:rsidP="000A469F">
            <w:pPr>
              <w:spacing w:line="240" w:lineRule="auto"/>
              <w:jc w:val="center"/>
              <w:rPr>
                <w:sz w:val="18"/>
                <w:szCs w:val="18"/>
                <w:lang w:eastAsia="es-ES"/>
              </w:rPr>
            </w:pPr>
            <w:r w:rsidRPr="00980644">
              <w:rPr>
                <w:sz w:val="18"/>
                <w:szCs w:val="18"/>
                <w:lang w:eastAsia="es-ES"/>
              </w:rPr>
              <w:t>-</w:t>
            </w:r>
            <w:r w:rsidRPr="00980644">
              <w:rPr>
                <w:sz w:val="18"/>
                <w:szCs w:val="18"/>
                <w:vertAlign w:val="superscript"/>
                <w:lang w:eastAsia="es-ES"/>
              </w:rPr>
              <w:t>a</w:t>
            </w:r>
          </w:p>
        </w:tc>
        <w:tc>
          <w:tcPr>
            <w:tcW w:w="749" w:type="pct"/>
            <w:tcBorders>
              <w:top w:val="double" w:sz="4" w:space="0" w:color="auto"/>
              <w:left w:val="nil"/>
              <w:bottom w:val="single" w:sz="4" w:space="0" w:color="auto"/>
              <w:right w:val="nil"/>
            </w:tcBorders>
            <w:vAlign w:val="center"/>
          </w:tcPr>
          <w:p w14:paraId="3DC77291" w14:textId="215B521D" w:rsidR="00282311" w:rsidRPr="00980644" w:rsidRDefault="001557CF" w:rsidP="000A469F">
            <w:pPr>
              <w:spacing w:line="240" w:lineRule="auto"/>
              <w:jc w:val="center"/>
              <w:rPr>
                <w:sz w:val="18"/>
                <w:szCs w:val="18"/>
                <w:lang w:eastAsia="es-ES"/>
              </w:rPr>
            </w:pPr>
            <w:r w:rsidRPr="00980644">
              <w:rPr>
                <w:sz w:val="18"/>
                <w:szCs w:val="18"/>
                <w:lang w:eastAsia="es-ES"/>
              </w:rPr>
              <w:t>-</w:t>
            </w:r>
            <w:r w:rsidRPr="00980644">
              <w:rPr>
                <w:sz w:val="18"/>
                <w:szCs w:val="18"/>
                <w:vertAlign w:val="superscript"/>
                <w:lang w:eastAsia="es-ES"/>
              </w:rPr>
              <w:t>a</w:t>
            </w:r>
          </w:p>
        </w:tc>
        <w:tc>
          <w:tcPr>
            <w:tcW w:w="664" w:type="pct"/>
            <w:tcBorders>
              <w:top w:val="double" w:sz="4" w:space="0" w:color="auto"/>
              <w:left w:val="nil"/>
              <w:bottom w:val="single" w:sz="4" w:space="0" w:color="auto"/>
            </w:tcBorders>
            <w:shd w:val="clear" w:color="auto" w:fill="auto"/>
            <w:noWrap/>
            <w:vAlign w:val="center"/>
            <w:hideMark/>
          </w:tcPr>
          <w:p w14:paraId="079C091B" w14:textId="4B169E65" w:rsidR="00282311" w:rsidRPr="00980644" w:rsidRDefault="00282311" w:rsidP="000A469F">
            <w:pPr>
              <w:spacing w:line="240" w:lineRule="auto"/>
              <w:jc w:val="center"/>
              <w:rPr>
                <w:sz w:val="18"/>
                <w:szCs w:val="18"/>
                <w:lang w:eastAsia="es-ES"/>
              </w:rPr>
            </w:pPr>
            <w:r w:rsidRPr="00980644">
              <w:rPr>
                <w:sz w:val="18"/>
                <w:szCs w:val="18"/>
                <w:lang w:eastAsia="es-ES"/>
              </w:rPr>
              <w:t>-</w:t>
            </w:r>
            <w:r w:rsidRPr="00980644">
              <w:rPr>
                <w:sz w:val="18"/>
                <w:szCs w:val="18"/>
                <w:vertAlign w:val="superscript"/>
                <w:lang w:eastAsia="es-ES"/>
              </w:rPr>
              <w:t>a</w:t>
            </w:r>
          </w:p>
        </w:tc>
      </w:tr>
      <w:tr w:rsidR="001557CF" w:rsidRPr="00980644" w14:paraId="7152DDF0" w14:textId="77777777" w:rsidTr="00B939A8">
        <w:trPr>
          <w:trHeight w:val="290"/>
          <w:jc w:val="right"/>
        </w:trPr>
        <w:tc>
          <w:tcPr>
            <w:tcW w:w="667" w:type="pct"/>
            <w:tcBorders>
              <w:top w:val="dotted" w:sz="4" w:space="0" w:color="auto"/>
              <w:bottom w:val="dotted" w:sz="4" w:space="0" w:color="auto"/>
            </w:tcBorders>
            <w:shd w:val="clear" w:color="auto" w:fill="auto"/>
            <w:noWrap/>
            <w:vAlign w:val="center"/>
            <w:hideMark/>
          </w:tcPr>
          <w:p w14:paraId="519D9FF2" w14:textId="77777777" w:rsidR="00282311" w:rsidRPr="00980644" w:rsidRDefault="00282311" w:rsidP="000A469F">
            <w:pPr>
              <w:spacing w:line="240" w:lineRule="auto"/>
              <w:jc w:val="center"/>
              <w:rPr>
                <w:b/>
                <w:sz w:val="18"/>
                <w:szCs w:val="18"/>
                <w:lang w:eastAsia="es-ES"/>
              </w:rPr>
            </w:pPr>
            <w:r w:rsidRPr="00980644">
              <w:rPr>
                <w:b/>
                <w:sz w:val="18"/>
                <w:szCs w:val="18"/>
                <w:lang w:eastAsia="es-ES"/>
              </w:rPr>
              <w:t>2</w:t>
            </w:r>
          </w:p>
        </w:tc>
        <w:tc>
          <w:tcPr>
            <w:tcW w:w="751" w:type="pct"/>
            <w:tcBorders>
              <w:top w:val="dotted" w:sz="4" w:space="0" w:color="auto"/>
              <w:left w:val="nil"/>
              <w:bottom w:val="dotted" w:sz="4" w:space="0" w:color="auto"/>
            </w:tcBorders>
            <w:shd w:val="clear" w:color="auto" w:fill="auto"/>
            <w:noWrap/>
            <w:vAlign w:val="center"/>
            <w:hideMark/>
          </w:tcPr>
          <w:p w14:paraId="270DF463" w14:textId="5E0E664C" w:rsidR="00282311" w:rsidRPr="00980644" w:rsidRDefault="00282311" w:rsidP="000A469F">
            <w:pPr>
              <w:spacing w:line="240" w:lineRule="auto"/>
              <w:jc w:val="center"/>
              <w:rPr>
                <w:sz w:val="18"/>
                <w:szCs w:val="18"/>
                <w:lang w:eastAsia="es-ES"/>
              </w:rPr>
            </w:pPr>
            <w:r w:rsidRPr="00980644">
              <w:rPr>
                <w:sz w:val="18"/>
                <w:szCs w:val="18"/>
                <w:lang w:eastAsia="es-ES"/>
              </w:rPr>
              <w:t>0.059 ± 0.002</w:t>
            </w:r>
          </w:p>
        </w:tc>
        <w:tc>
          <w:tcPr>
            <w:tcW w:w="834" w:type="pct"/>
            <w:tcBorders>
              <w:top w:val="dotted" w:sz="4" w:space="0" w:color="auto"/>
              <w:left w:val="nil"/>
              <w:bottom w:val="dotted" w:sz="4" w:space="0" w:color="auto"/>
              <w:right w:val="nil"/>
            </w:tcBorders>
            <w:vAlign w:val="center"/>
          </w:tcPr>
          <w:p w14:paraId="3095F465" w14:textId="1B620D11" w:rsidR="00282311" w:rsidRPr="00980644" w:rsidRDefault="001557CF" w:rsidP="000A469F">
            <w:pPr>
              <w:spacing w:line="240" w:lineRule="auto"/>
              <w:jc w:val="center"/>
              <w:rPr>
                <w:sz w:val="18"/>
                <w:szCs w:val="18"/>
                <w:lang w:eastAsia="es-ES"/>
              </w:rPr>
            </w:pPr>
            <w:r w:rsidRPr="00980644">
              <w:rPr>
                <w:sz w:val="18"/>
                <w:szCs w:val="18"/>
                <w:lang w:eastAsia="es-ES"/>
              </w:rPr>
              <w:t>0.0117 ± 0.0004</w:t>
            </w:r>
          </w:p>
        </w:tc>
        <w:tc>
          <w:tcPr>
            <w:tcW w:w="667" w:type="pct"/>
            <w:tcBorders>
              <w:top w:val="dotted" w:sz="4" w:space="0" w:color="auto"/>
              <w:left w:val="nil"/>
              <w:bottom w:val="dotted" w:sz="4" w:space="0" w:color="auto"/>
            </w:tcBorders>
            <w:shd w:val="clear" w:color="auto" w:fill="auto"/>
            <w:noWrap/>
            <w:vAlign w:val="center"/>
            <w:hideMark/>
          </w:tcPr>
          <w:p w14:paraId="5D653BE6" w14:textId="7ABFF138" w:rsidR="00282311" w:rsidRPr="00980644" w:rsidRDefault="00282311" w:rsidP="000A469F">
            <w:pPr>
              <w:spacing w:line="240" w:lineRule="auto"/>
              <w:jc w:val="center"/>
              <w:rPr>
                <w:sz w:val="18"/>
                <w:szCs w:val="18"/>
                <w:lang w:eastAsia="es-ES"/>
              </w:rPr>
            </w:pPr>
            <w:r w:rsidRPr="00980644">
              <w:rPr>
                <w:sz w:val="18"/>
                <w:szCs w:val="18"/>
                <w:lang w:eastAsia="es-ES"/>
              </w:rPr>
              <w:t>1.06 ± 0.04</w:t>
            </w:r>
          </w:p>
        </w:tc>
        <w:tc>
          <w:tcPr>
            <w:tcW w:w="667" w:type="pct"/>
            <w:tcBorders>
              <w:top w:val="dotted" w:sz="4" w:space="0" w:color="auto"/>
              <w:left w:val="nil"/>
              <w:bottom w:val="dotted" w:sz="4" w:space="0" w:color="auto"/>
            </w:tcBorders>
            <w:shd w:val="clear" w:color="auto" w:fill="auto"/>
            <w:noWrap/>
            <w:vAlign w:val="center"/>
            <w:hideMark/>
          </w:tcPr>
          <w:p w14:paraId="0FB7E0C4" w14:textId="38D6AAF9" w:rsidR="00282311" w:rsidRPr="00980644" w:rsidRDefault="00282311" w:rsidP="000A469F">
            <w:pPr>
              <w:spacing w:line="240" w:lineRule="auto"/>
              <w:jc w:val="center"/>
              <w:rPr>
                <w:sz w:val="18"/>
                <w:szCs w:val="18"/>
                <w:lang w:eastAsia="es-ES"/>
              </w:rPr>
            </w:pPr>
            <w:r w:rsidRPr="00980644">
              <w:rPr>
                <w:sz w:val="18"/>
                <w:szCs w:val="18"/>
                <w:lang w:eastAsia="es-ES"/>
              </w:rPr>
              <w:t>4.335± 0.7</w:t>
            </w:r>
            <w:r w:rsidR="001557CF" w:rsidRPr="00980644">
              <w:rPr>
                <w:sz w:val="18"/>
                <w:szCs w:val="18"/>
                <w:lang w:eastAsia="es-ES"/>
              </w:rPr>
              <w:t>55</w:t>
            </w:r>
          </w:p>
        </w:tc>
        <w:tc>
          <w:tcPr>
            <w:tcW w:w="749" w:type="pct"/>
            <w:tcBorders>
              <w:top w:val="dotted" w:sz="4" w:space="0" w:color="auto"/>
              <w:left w:val="nil"/>
              <w:bottom w:val="dotted" w:sz="4" w:space="0" w:color="auto"/>
              <w:right w:val="nil"/>
            </w:tcBorders>
            <w:vAlign w:val="center"/>
          </w:tcPr>
          <w:p w14:paraId="6573D641" w14:textId="6A6FFD8B" w:rsidR="00282311" w:rsidRPr="00980644" w:rsidRDefault="001557CF" w:rsidP="000A469F">
            <w:pPr>
              <w:spacing w:line="240" w:lineRule="auto"/>
              <w:jc w:val="center"/>
              <w:rPr>
                <w:sz w:val="18"/>
                <w:szCs w:val="18"/>
                <w:lang w:eastAsia="es-ES"/>
              </w:rPr>
            </w:pPr>
            <w:r w:rsidRPr="00980644">
              <w:rPr>
                <w:sz w:val="18"/>
                <w:szCs w:val="18"/>
                <w:lang w:eastAsia="es-ES"/>
              </w:rPr>
              <w:t xml:space="preserve">0.867 ± 0.151 </w:t>
            </w:r>
          </w:p>
        </w:tc>
        <w:tc>
          <w:tcPr>
            <w:tcW w:w="664" w:type="pct"/>
            <w:tcBorders>
              <w:top w:val="dotted" w:sz="4" w:space="0" w:color="auto"/>
              <w:left w:val="nil"/>
              <w:bottom w:val="dotted" w:sz="4" w:space="0" w:color="auto"/>
            </w:tcBorders>
            <w:shd w:val="clear" w:color="auto" w:fill="auto"/>
            <w:noWrap/>
            <w:vAlign w:val="center"/>
            <w:hideMark/>
          </w:tcPr>
          <w:p w14:paraId="1C367C7F" w14:textId="2782F167" w:rsidR="00282311" w:rsidRPr="00980644" w:rsidRDefault="00282311" w:rsidP="000A469F">
            <w:pPr>
              <w:spacing w:line="240" w:lineRule="auto"/>
              <w:jc w:val="center"/>
              <w:rPr>
                <w:sz w:val="18"/>
                <w:szCs w:val="18"/>
                <w:lang w:eastAsia="es-ES"/>
              </w:rPr>
            </w:pPr>
            <w:r w:rsidRPr="00980644">
              <w:rPr>
                <w:sz w:val="18"/>
                <w:szCs w:val="18"/>
                <w:lang w:eastAsia="es-ES"/>
              </w:rPr>
              <w:t>0.84 ± 0.14</w:t>
            </w:r>
          </w:p>
        </w:tc>
      </w:tr>
      <w:tr w:rsidR="001557CF" w:rsidRPr="00980644" w14:paraId="15D3A47B" w14:textId="77777777" w:rsidTr="00B939A8">
        <w:trPr>
          <w:trHeight w:val="290"/>
          <w:jc w:val="right"/>
        </w:trPr>
        <w:tc>
          <w:tcPr>
            <w:tcW w:w="667" w:type="pct"/>
            <w:tcBorders>
              <w:top w:val="dotted" w:sz="4" w:space="0" w:color="auto"/>
              <w:bottom w:val="single" w:sz="8" w:space="0" w:color="auto"/>
            </w:tcBorders>
            <w:shd w:val="clear" w:color="auto" w:fill="auto"/>
            <w:noWrap/>
            <w:vAlign w:val="center"/>
          </w:tcPr>
          <w:p w14:paraId="13193D2C" w14:textId="77777777" w:rsidR="00282311" w:rsidRPr="00980644" w:rsidRDefault="00282311" w:rsidP="000A469F">
            <w:pPr>
              <w:spacing w:line="240" w:lineRule="auto"/>
              <w:jc w:val="center"/>
              <w:rPr>
                <w:b/>
                <w:sz w:val="18"/>
                <w:szCs w:val="18"/>
                <w:lang w:eastAsia="es-ES"/>
              </w:rPr>
            </w:pPr>
            <w:r w:rsidRPr="00980644">
              <w:rPr>
                <w:b/>
                <w:sz w:val="18"/>
                <w:szCs w:val="18"/>
                <w:lang w:eastAsia="es-ES"/>
              </w:rPr>
              <w:t>3</w:t>
            </w:r>
          </w:p>
        </w:tc>
        <w:tc>
          <w:tcPr>
            <w:tcW w:w="751" w:type="pct"/>
            <w:tcBorders>
              <w:top w:val="dotted" w:sz="4" w:space="0" w:color="auto"/>
              <w:left w:val="nil"/>
              <w:bottom w:val="single" w:sz="8" w:space="0" w:color="auto"/>
            </w:tcBorders>
            <w:shd w:val="clear" w:color="auto" w:fill="auto"/>
            <w:noWrap/>
            <w:vAlign w:val="center"/>
          </w:tcPr>
          <w:p w14:paraId="4A4C7390" w14:textId="381C616C" w:rsidR="00282311" w:rsidRPr="00980644" w:rsidRDefault="00282311" w:rsidP="000A469F">
            <w:pPr>
              <w:spacing w:line="240" w:lineRule="auto"/>
              <w:jc w:val="center"/>
              <w:rPr>
                <w:sz w:val="18"/>
                <w:szCs w:val="18"/>
                <w:lang w:eastAsia="es-ES"/>
              </w:rPr>
            </w:pPr>
            <w:r w:rsidRPr="00980644">
              <w:rPr>
                <w:sz w:val="18"/>
                <w:szCs w:val="18"/>
                <w:lang w:eastAsia="es-ES"/>
              </w:rPr>
              <w:t>-</w:t>
            </w:r>
            <w:r w:rsidRPr="00980644">
              <w:rPr>
                <w:sz w:val="18"/>
                <w:szCs w:val="18"/>
                <w:vertAlign w:val="superscript"/>
                <w:lang w:eastAsia="es-ES"/>
              </w:rPr>
              <w:t>a</w:t>
            </w:r>
          </w:p>
        </w:tc>
        <w:tc>
          <w:tcPr>
            <w:tcW w:w="834" w:type="pct"/>
            <w:tcBorders>
              <w:top w:val="dotted" w:sz="4" w:space="0" w:color="auto"/>
              <w:left w:val="nil"/>
              <w:bottom w:val="single" w:sz="8" w:space="0" w:color="auto"/>
              <w:right w:val="nil"/>
            </w:tcBorders>
            <w:vAlign w:val="center"/>
          </w:tcPr>
          <w:p w14:paraId="00CE2784" w14:textId="4327188C" w:rsidR="00282311" w:rsidRPr="00980644" w:rsidRDefault="001557CF" w:rsidP="000A469F">
            <w:pPr>
              <w:spacing w:line="240" w:lineRule="auto"/>
              <w:jc w:val="center"/>
              <w:rPr>
                <w:sz w:val="18"/>
                <w:szCs w:val="18"/>
                <w:lang w:eastAsia="es-ES"/>
              </w:rPr>
            </w:pPr>
            <w:r w:rsidRPr="00980644">
              <w:rPr>
                <w:sz w:val="18"/>
                <w:szCs w:val="18"/>
                <w:lang w:eastAsia="es-ES"/>
              </w:rPr>
              <w:t>-</w:t>
            </w:r>
            <w:r w:rsidRPr="00980644">
              <w:rPr>
                <w:sz w:val="18"/>
                <w:szCs w:val="18"/>
                <w:vertAlign w:val="superscript"/>
                <w:lang w:eastAsia="es-ES"/>
              </w:rPr>
              <w:t>a</w:t>
            </w:r>
          </w:p>
        </w:tc>
        <w:tc>
          <w:tcPr>
            <w:tcW w:w="667" w:type="pct"/>
            <w:tcBorders>
              <w:top w:val="dotted" w:sz="4" w:space="0" w:color="auto"/>
              <w:left w:val="nil"/>
              <w:bottom w:val="single" w:sz="8" w:space="0" w:color="auto"/>
            </w:tcBorders>
            <w:shd w:val="clear" w:color="auto" w:fill="auto"/>
            <w:noWrap/>
            <w:vAlign w:val="center"/>
          </w:tcPr>
          <w:p w14:paraId="71FA2617" w14:textId="03CD94B2" w:rsidR="00282311" w:rsidRPr="00980644" w:rsidRDefault="00282311" w:rsidP="000A469F">
            <w:pPr>
              <w:spacing w:line="240" w:lineRule="auto"/>
              <w:jc w:val="center"/>
              <w:rPr>
                <w:sz w:val="18"/>
                <w:szCs w:val="18"/>
                <w:lang w:eastAsia="es-ES"/>
              </w:rPr>
            </w:pPr>
            <w:r w:rsidRPr="00980644">
              <w:rPr>
                <w:sz w:val="18"/>
                <w:szCs w:val="18"/>
                <w:lang w:eastAsia="es-ES"/>
              </w:rPr>
              <w:t>-</w:t>
            </w:r>
            <w:r w:rsidRPr="00980644">
              <w:rPr>
                <w:sz w:val="18"/>
                <w:szCs w:val="18"/>
                <w:vertAlign w:val="superscript"/>
                <w:lang w:eastAsia="es-ES"/>
              </w:rPr>
              <w:t>a</w:t>
            </w:r>
          </w:p>
        </w:tc>
        <w:tc>
          <w:tcPr>
            <w:tcW w:w="667" w:type="pct"/>
            <w:tcBorders>
              <w:top w:val="dotted" w:sz="4" w:space="0" w:color="auto"/>
              <w:left w:val="nil"/>
              <w:bottom w:val="single" w:sz="8" w:space="0" w:color="auto"/>
            </w:tcBorders>
            <w:shd w:val="clear" w:color="auto" w:fill="auto"/>
            <w:noWrap/>
            <w:vAlign w:val="center"/>
          </w:tcPr>
          <w:p w14:paraId="249424D6" w14:textId="261BE9F6" w:rsidR="00282311" w:rsidRPr="00980644" w:rsidRDefault="00282311" w:rsidP="000A469F">
            <w:pPr>
              <w:spacing w:line="240" w:lineRule="auto"/>
              <w:jc w:val="center"/>
              <w:rPr>
                <w:sz w:val="18"/>
                <w:szCs w:val="18"/>
                <w:lang w:eastAsia="es-ES"/>
              </w:rPr>
            </w:pPr>
            <w:r w:rsidRPr="00980644">
              <w:rPr>
                <w:sz w:val="18"/>
                <w:szCs w:val="18"/>
                <w:lang w:eastAsia="es-ES"/>
              </w:rPr>
              <w:t>-</w:t>
            </w:r>
            <w:r w:rsidRPr="00980644">
              <w:rPr>
                <w:sz w:val="18"/>
                <w:szCs w:val="18"/>
                <w:vertAlign w:val="superscript"/>
                <w:lang w:eastAsia="es-ES"/>
              </w:rPr>
              <w:t>a</w:t>
            </w:r>
          </w:p>
        </w:tc>
        <w:tc>
          <w:tcPr>
            <w:tcW w:w="749" w:type="pct"/>
            <w:tcBorders>
              <w:top w:val="dotted" w:sz="4" w:space="0" w:color="auto"/>
              <w:left w:val="nil"/>
              <w:bottom w:val="single" w:sz="8" w:space="0" w:color="auto"/>
              <w:right w:val="nil"/>
            </w:tcBorders>
            <w:vAlign w:val="center"/>
          </w:tcPr>
          <w:p w14:paraId="283480B2" w14:textId="4769DBEE" w:rsidR="00282311" w:rsidRPr="00980644" w:rsidRDefault="001557CF" w:rsidP="000A469F">
            <w:pPr>
              <w:spacing w:line="240" w:lineRule="auto"/>
              <w:jc w:val="center"/>
              <w:rPr>
                <w:sz w:val="18"/>
                <w:szCs w:val="18"/>
                <w:lang w:eastAsia="es-ES"/>
              </w:rPr>
            </w:pPr>
            <w:r w:rsidRPr="00980644">
              <w:rPr>
                <w:sz w:val="18"/>
                <w:szCs w:val="18"/>
                <w:lang w:eastAsia="es-ES"/>
              </w:rPr>
              <w:t>-</w:t>
            </w:r>
            <w:r w:rsidRPr="00980644">
              <w:rPr>
                <w:sz w:val="18"/>
                <w:szCs w:val="18"/>
                <w:vertAlign w:val="superscript"/>
                <w:lang w:eastAsia="es-ES"/>
              </w:rPr>
              <w:t>a</w:t>
            </w:r>
          </w:p>
        </w:tc>
        <w:tc>
          <w:tcPr>
            <w:tcW w:w="664" w:type="pct"/>
            <w:tcBorders>
              <w:top w:val="dotted" w:sz="4" w:space="0" w:color="auto"/>
              <w:left w:val="nil"/>
              <w:bottom w:val="single" w:sz="8" w:space="0" w:color="auto"/>
            </w:tcBorders>
            <w:shd w:val="clear" w:color="auto" w:fill="auto"/>
            <w:noWrap/>
            <w:vAlign w:val="center"/>
          </w:tcPr>
          <w:p w14:paraId="6255EF8B" w14:textId="27EF73A6" w:rsidR="00282311" w:rsidRPr="00980644" w:rsidRDefault="00282311" w:rsidP="000A469F">
            <w:pPr>
              <w:spacing w:line="240" w:lineRule="auto"/>
              <w:jc w:val="center"/>
              <w:rPr>
                <w:sz w:val="18"/>
                <w:szCs w:val="18"/>
                <w:lang w:eastAsia="es-ES"/>
              </w:rPr>
            </w:pPr>
            <w:r w:rsidRPr="00980644">
              <w:rPr>
                <w:sz w:val="18"/>
                <w:szCs w:val="18"/>
                <w:lang w:eastAsia="es-ES"/>
              </w:rPr>
              <w:t>-</w:t>
            </w:r>
            <w:r w:rsidRPr="00980644">
              <w:rPr>
                <w:sz w:val="18"/>
                <w:szCs w:val="18"/>
                <w:vertAlign w:val="superscript"/>
                <w:lang w:eastAsia="es-ES"/>
              </w:rPr>
              <w:t>a</w:t>
            </w:r>
          </w:p>
        </w:tc>
      </w:tr>
    </w:tbl>
    <w:p w14:paraId="7359B542" w14:textId="77777777" w:rsidR="00ED01DE" w:rsidRPr="00980644" w:rsidRDefault="00ED01DE" w:rsidP="00CC55C7">
      <w:pPr>
        <w:jc w:val="both"/>
        <w:rPr>
          <w:sz w:val="20"/>
          <w:szCs w:val="28"/>
        </w:rPr>
      </w:pPr>
      <w:r w:rsidRPr="00980644">
        <w:rPr>
          <w:sz w:val="20"/>
          <w:szCs w:val="28"/>
          <w:vertAlign w:val="superscript"/>
        </w:rPr>
        <w:t>a</w:t>
      </w:r>
      <w:r w:rsidRPr="00980644">
        <w:rPr>
          <w:sz w:val="20"/>
          <w:szCs w:val="28"/>
        </w:rPr>
        <w:t>Th</w:t>
      </w:r>
      <w:r w:rsidR="00CD6D98" w:rsidRPr="00980644">
        <w:rPr>
          <w:sz w:val="20"/>
          <w:szCs w:val="28"/>
        </w:rPr>
        <w:t>e low activity precluded the calculation of th</w:t>
      </w:r>
      <w:r w:rsidRPr="00980644">
        <w:rPr>
          <w:sz w:val="20"/>
          <w:szCs w:val="28"/>
        </w:rPr>
        <w:t>ese parameters.</w:t>
      </w:r>
    </w:p>
    <w:bookmarkEnd w:id="11"/>
    <w:p w14:paraId="538B961E" w14:textId="3E62338D" w:rsidR="00ED01DE" w:rsidRPr="00980644" w:rsidRDefault="00CD6D98" w:rsidP="00CC55C7">
      <w:pPr>
        <w:pStyle w:val="Newparagraph"/>
        <w:jc w:val="both"/>
      </w:pPr>
      <w:r w:rsidRPr="00980644">
        <w:lastRenderedPageBreak/>
        <w:t xml:space="preserve">Compound </w:t>
      </w:r>
      <w:r w:rsidRPr="00980644">
        <w:rPr>
          <w:b/>
        </w:rPr>
        <w:t>2</w:t>
      </w:r>
      <w:r w:rsidRPr="00980644">
        <w:t xml:space="preserve"> was found to be the most active in these assays, displaying </w:t>
      </w:r>
      <w:r w:rsidR="005A6E37" w:rsidRPr="00980644">
        <w:t xml:space="preserve">a </w:t>
      </w:r>
      <w:r w:rsidRPr="00980644">
        <w:t>submicromolar EC</w:t>
      </w:r>
      <w:r w:rsidRPr="00980644">
        <w:rPr>
          <w:vertAlign w:val="subscript"/>
        </w:rPr>
        <w:t>50</w:t>
      </w:r>
      <w:r w:rsidRPr="00980644">
        <w:t xml:space="preserve"> </w:t>
      </w:r>
      <w:r w:rsidR="005A6E37" w:rsidRPr="00980644">
        <w:t xml:space="preserve">value </w:t>
      </w:r>
      <w:r w:rsidRPr="00980644">
        <w:t xml:space="preserve">in the </w:t>
      </w:r>
      <w:r w:rsidR="00CB4240" w:rsidRPr="00980644">
        <w:rPr>
          <w:bCs/>
        </w:rPr>
        <w:t>NO</w:t>
      </w:r>
      <w:r w:rsidR="00CB4240" w:rsidRPr="00980644">
        <w:rPr>
          <w:bCs/>
          <w:vertAlign w:val="subscript"/>
        </w:rPr>
        <w:t>3</w:t>
      </w:r>
      <w:r w:rsidR="00CB4240" w:rsidRPr="00980644">
        <w:rPr>
          <w:bCs/>
          <w:vertAlign w:val="superscript"/>
        </w:rPr>
        <w:t>–</w:t>
      </w:r>
      <w:r w:rsidR="00CB4240" w:rsidRPr="00980644">
        <w:rPr>
          <w:bCs/>
        </w:rPr>
        <w:t>/Cl</w:t>
      </w:r>
      <w:r w:rsidR="00CB4240" w:rsidRPr="00980644">
        <w:rPr>
          <w:bCs/>
          <w:vertAlign w:val="superscript"/>
        </w:rPr>
        <w:t>–</w:t>
      </w:r>
      <w:r w:rsidR="00CB4240" w:rsidRPr="00980644">
        <w:rPr>
          <w:b/>
          <w:vertAlign w:val="superscript"/>
        </w:rPr>
        <w:t xml:space="preserve"> </w:t>
      </w:r>
      <w:r w:rsidRPr="00980644">
        <w:t>exchange assay. This result is in agreement with the better stabili</w:t>
      </w:r>
      <w:r w:rsidR="00BF7DAD" w:rsidRPr="00980644">
        <w:t>s</w:t>
      </w:r>
      <w:r w:rsidRPr="00980644">
        <w:t>ation of the anion suggested by the solid</w:t>
      </w:r>
      <w:r w:rsidR="005A6E37" w:rsidRPr="00980644">
        <w:t>-</w:t>
      </w:r>
      <w:r w:rsidRPr="00980644">
        <w:t>s</w:t>
      </w:r>
      <w:r w:rsidR="005A6E37" w:rsidRPr="00980644">
        <w:t>t</w:t>
      </w:r>
      <w:r w:rsidRPr="00980644">
        <w:t>ate structure of this compound (Figure 2), showing the involvement of the furan C-H in the hydrogen</w:t>
      </w:r>
      <w:r w:rsidR="005A6E37" w:rsidRPr="00980644">
        <w:t>-</w:t>
      </w:r>
      <w:r w:rsidRPr="00980644">
        <w:t xml:space="preserve">bond cleft displayed by this derivative. Incorporation of the furan heterocycle as the B ring in roseophilin-inspired derivatives </w:t>
      </w:r>
      <w:r w:rsidRPr="00980644">
        <w:rPr>
          <w:b/>
        </w:rPr>
        <w:t>1</w:t>
      </w:r>
      <w:r w:rsidRPr="00980644">
        <w:t xml:space="preserve"> and </w:t>
      </w:r>
      <w:r w:rsidRPr="00980644">
        <w:rPr>
          <w:b/>
        </w:rPr>
        <w:t>3</w:t>
      </w:r>
      <w:r w:rsidRPr="00980644">
        <w:t xml:space="preserve"> is clearly deleterious for the transmembrane transport activity of these derivatives. When comparing the calculated EC</w:t>
      </w:r>
      <w:r w:rsidRPr="00980644">
        <w:rPr>
          <w:vertAlign w:val="subscript"/>
        </w:rPr>
        <w:t>50</w:t>
      </w:r>
      <w:r w:rsidRPr="00980644">
        <w:t xml:space="preserve"> for </w:t>
      </w:r>
      <w:r w:rsidRPr="00980644">
        <w:rPr>
          <w:b/>
        </w:rPr>
        <w:t>1</w:t>
      </w:r>
      <w:r w:rsidRPr="00980644">
        <w:t xml:space="preserve"> and </w:t>
      </w:r>
      <w:r w:rsidRPr="00980644">
        <w:rPr>
          <w:b/>
        </w:rPr>
        <w:t>2</w:t>
      </w:r>
      <w:r w:rsidRPr="00980644">
        <w:t xml:space="preserve"> a 25</w:t>
      </w:r>
      <w:r w:rsidR="0011621D" w:rsidRPr="00980644">
        <w:t>-fold</w:t>
      </w:r>
      <w:r w:rsidRPr="00980644">
        <w:t xml:space="preserve"> </w:t>
      </w:r>
      <w:r w:rsidR="0011621D" w:rsidRPr="00980644">
        <w:t xml:space="preserve">increase </w:t>
      </w:r>
      <w:r w:rsidRPr="00980644">
        <w:t>is observed. A</w:t>
      </w:r>
      <w:r w:rsidR="00CC55C7" w:rsidRPr="00980644">
        <w:t xml:space="preserve"> release of less than 50% chloride was observed for </w:t>
      </w:r>
      <w:r w:rsidR="00CC55C7" w:rsidRPr="00980644">
        <w:rPr>
          <w:b/>
        </w:rPr>
        <w:t>3</w:t>
      </w:r>
      <w:r w:rsidR="00CC55C7" w:rsidRPr="00980644">
        <w:t xml:space="preserve"> even when explored at </w:t>
      </w:r>
      <w:r w:rsidR="00B145A2" w:rsidRPr="00980644">
        <w:t>1</w:t>
      </w:r>
      <w:r w:rsidR="00CC55C7" w:rsidRPr="00980644">
        <w:t>% under these conditions</w:t>
      </w:r>
      <w:r w:rsidR="00DF7CEB" w:rsidRPr="00980644">
        <w:t xml:space="preserve"> (see </w:t>
      </w:r>
      <w:r w:rsidR="009D5D4E" w:rsidRPr="00980644">
        <w:t>Figure S30</w:t>
      </w:r>
      <w:r w:rsidR="00DF7CEB" w:rsidRPr="00980644">
        <w:t>)</w:t>
      </w:r>
      <w:r w:rsidR="00CC55C7" w:rsidRPr="00980644">
        <w:t xml:space="preserve">. </w:t>
      </w:r>
      <w:bookmarkStart w:id="12" w:name="_Hlk103249644"/>
      <w:r w:rsidR="00CC55C7" w:rsidRPr="00980644">
        <w:t>It should be noted that the parent prodiginine and tambjamine analog</w:t>
      </w:r>
      <w:r w:rsidR="00D91C69" w:rsidRPr="00980644">
        <w:t>ue</w:t>
      </w:r>
      <w:r w:rsidR="00CC55C7" w:rsidRPr="00980644">
        <w:t xml:space="preserve">s of </w:t>
      </w:r>
      <w:r w:rsidR="00CC55C7" w:rsidRPr="00980644">
        <w:rPr>
          <w:b/>
        </w:rPr>
        <w:t>1</w:t>
      </w:r>
      <w:r w:rsidR="00CC55C7" w:rsidRPr="00980644">
        <w:t xml:space="preserve"> and </w:t>
      </w:r>
      <w:r w:rsidR="00CC55C7" w:rsidRPr="00980644">
        <w:rPr>
          <w:b/>
        </w:rPr>
        <w:t xml:space="preserve">3 </w:t>
      </w:r>
      <w:r w:rsidR="00CC55C7" w:rsidRPr="00980644">
        <w:t xml:space="preserve">are very active </w:t>
      </w:r>
      <w:bookmarkEnd w:id="12"/>
      <w:r w:rsidR="00CC55C7" w:rsidRPr="00980644">
        <w:t>transmembrane transporters</w:t>
      </w:r>
      <w:r w:rsidR="00F80768" w:rsidRPr="00980644">
        <w:t xml:space="preserve"> [32-33]</w:t>
      </w:r>
      <w:r w:rsidR="00CC55C7" w:rsidRPr="00980644">
        <w:t>. The marked drop in chloride efflux observed when the lipophilic nitrate is replaced by the more hydrophilic bicarbonate (and sulfate) is a result commonly observed in these experiments. It can be interpreted as the result of the differences in the ease of the anion to be extracted into the membrane. These results also support an exchange mechanism as the main anion transport mechanism and rule out detergent effects exerted by these compounds</w:t>
      </w:r>
      <w:r w:rsidR="000A469F" w:rsidRPr="00980644">
        <w:t>.</w:t>
      </w:r>
    </w:p>
    <w:p w14:paraId="2D0AE187" w14:textId="77777777" w:rsidR="003D415A" w:rsidRPr="00980644" w:rsidRDefault="003D415A" w:rsidP="00CC55C7">
      <w:pPr>
        <w:pStyle w:val="Ttulo1"/>
        <w:jc w:val="both"/>
      </w:pPr>
      <w:r w:rsidRPr="00980644">
        <w:t>4. Conclusions</w:t>
      </w:r>
    </w:p>
    <w:p w14:paraId="157ACFB6" w14:textId="6AF62DF1" w:rsidR="00CC55C7" w:rsidRPr="00980644" w:rsidRDefault="00DF7CEB" w:rsidP="000A469F">
      <w:pPr>
        <w:pStyle w:val="Newparagraph"/>
        <w:spacing w:before="240"/>
        <w:jc w:val="both"/>
      </w:pPr>
      <w:r w:rsidRPr="00980644">
        <w:t>Inspired by the structure of</w:t>
      </w:r>
      <w:r w:rsidR="00AA56EE" w:rsidRPr="00980644">
        <w:t xml:space="preserve"> the</w:t>
      </w:r>
      <w:r w:rsidRPr="00980644">
        <w:t xml:space="preserve"> natural product roseophilin</w:t>
      </w:r>
      <w:r w:rsidR="00B22BCC" w:rsidRPr="00980644">
        <w:t>,</w:t>
      </w:r>
      <w:r w:rsidRPr="00980644">
        <w:t xml:space="preserve"> compounds </w:t>
      </w:r>
      <w:r w:rsidRPr="00980644">
        <w:rPr>
          <w:b/>
        </w:rPr>
        <w:t>1</w:t>
      </w:r>
      <w:r w:rsidRPr="00980644">
        <w:t>-</w:t>
      </w:r>
      <w:r w:rsidRPr="00980644">
        <w:rPr>
          <w:b/>
        </w:rPr>
        <w:t>3</w:t>
      </w:r>
      <w:r w:rsidRPr="00980644">
        <w:t xml:space="preserve"> were prepared</w:t>
      </w:r>
      <w:r w:rsidR="00F66689" w:rsidRPr="00980644">
        <w:t xml:space="preserve"> and characteri</w:t>
      </w:r>
      <w:r w:rsidR="00894AE7" w:rsidRPr="00980644">
        <w:t>s</w:t>
      </w:r>
      <w:r w:rsidR="00F66689" w:rsidRPr="00980644">
        <w:t>ed</w:t>
      </w:r>
      <w:r w:rsidRPr="00980644">
        <w:t>. These derivatives include</w:t>
      </w:r>
      <w:r w:rsidR="003866AE" w:rsidRPr="00980644">
        <w:t xml:space="preserve"> a</w:t>
      </w:r>
      <w:r w:rsidRPr="00980644">
        <w:t xml:space="preserve"> furan ring in their structure and are structurally related to other alkaloids such as prodiginines and tambjamines. </w:t>
      </w:r>
      <w:r w:rsidR="00CC55C7" w:rsidRPr="00980644">
        <w:t xml:space="preserve">The anionophoric activity of </w:t>
      </w:r>
      <w:r w:rsidRPr="00980644">
        <w:t>these compounds</w:t>
      </w:r>
      <w:r w:rsidR="00CC55C7" w:rsidRPr="00980644">
        <w:t xml:space="preserve"> was tested in model phospholipid vesicles using</w:t>
      </w:r>
      <w:r w:rsidRPr="00980644">
        <w:t xml:space="preserve"> ISE</w:t>
      </w:r>
      <w:r w:rsidR="00B22BCC" w:rsidRPr="00980644">
        <w:t>-based</w:t>
      </w:r>
      <w:r w:rsidRPr="00980644">
        <w:t xml:space="preserve"> </w:t>
      </w:r>
      <w:r w:rsidR="00CC55C7" w:rsidRPr="00980644">
        <w:t xml:space="preserve">assays. The results demonstrated that the </w:t>
      </w:r>
      <w:r w:rsidR="0011621D" w:rsidRPr="00980644">
        <w:t>substitution of a pyrrole ring by</w:t>
      </w:r>
      <w:r w:rsidR="00CC55C7" w:rsidRPr="00980644">
        <w:t xml:space="preserve"> a </w:t>
      </w:r>
      <w:r w:rsidR="0063714D" w:rsidRPr="00980644">
        <w:t>furan</w:t>
      </w:r>
      <w:r w:rsidR="00CC55C7" w:rsidRPr="00980644">
        <w:t xml:space="preserve"> heterocycle </w:t>
      </w:r>
      <w:r w:rsidR="00FF58C2" w:rsidRPr="00980644">
        <w:t xml:space="preserve">in these </w:t>
      </w:r>
      <w:r w:rsidR="00CC55C7" w:rsidRPr="00980644">
        <w:t xml:space="preserve">natural product mimetics is detrimental </w:t>
      </w:r>
      <w:r w:rsidR="00B22BCC" w:rsidRPr="00980644">
        <w:t>for</w:t>
      </w:r>
      <w:r w:rsidR="00CC55C7" w:rsidRPr="00980644">
        <w:t xml:space="preserve"> the anionophoric activity of the compounds. The </w:t>
      </w:r>
      <w:r w:rsidR="00FF58C2" w:rsidRPr="00980644">
        <w:t>elimination</w:t>
      </w:r>
      <w:r w:rsidR="00CC55C7" w:rsidRPr="00980644">
        <w:t xml:space="preserve"> of </w:t>
      </w:r>
      <w:r w:rsidR="00C66D88" w:rsidRPr="00980644">
        <w:t>a</w:t>
      </w:r>
      <w:r w:rsidR="00CC55C7" w:rsidRPr="00980644">
        <w:t xml:space="preserve"> hydrogen</w:t>
      </w:r>
      <w:r w:rsidR="00C66D88" w:rsidRPr="00980644">
        <w:t>-</w:t>
      </w:r>
      <w:r w:rsidR="00CC55C7" w:rsidRPr="00980644">
        <w:t>bond</w:t>
      </w:r>
      <w:r w:rsidR="00C66D88" w:rsidRPr="00980644">
        <w:t>ing</w:t>
      </w:r>
      <w:r w:rsidR="00CC55C7" w:rsidRPr="00980644">
        <w:t xml:space="preserve"> interaction with the anion, together with electrostatic repulsions between the oxygen of </w:t>
      </w:r>
      <w:r w:rsidR="00AA56EE" w:rsidRPr="00980644">
        <w:lastRenderedPageBreak/>
        <w:t xml:space="preserve">the </w:t>
      </w:r>
      <w:r w:rsidR="0063714D" w:rsidRPr="00980644">
        <w:t>furan</w:t>
      </w:r>
      <w:r w:rsidR="00CC55C7" w:rsidRPr="00980644">
        <w:t xml:space="preserve"> ring</w:t>
      </w:r>
      <w:r w:rsidRPr="00980644">
        <w:t xml:space="preserve"> of </w:t>
      </w:r>
      <w:r w:rsidRPr="00980644">
        <w:rPr>
          <w:b/>
        </w:rPr>
        <w:t xml:space="preserve">1 </w:t>
      </w:r>
      <w:r w:rsidRPr="00980644">
        <w:t>and</w:t>
      </w:r>
      <w:r w:rsidRPr="00980644">
        <w:rPr>
          <w:b/>
        </w:rPr>
        <w:t xml:space="preserve"> 3</w:t>
      </w:r>
      <w:r w:rsidR="00CC55C7" w:rsidRPr="00980644">
        <w:t xml:space="preserve"> and chloride, could explain these results. </w:t>
      </w:r>
      <w:r w:rsidR="00F2597B" w:rsidRPr="00980644">
        <w:t>Moreover</w:t>
      </w:r>
      <w:r w:rsidR="00CC55C7" w:rsidRPr="00980644">
        <w:t>, a compa</w:t>
      </w:r>
      <w:r w:rsidR="00FF58C2" w:rsidRPr="00980644">
        <w:t>rison</w:t>
      </w:r>
      <w:r w:rsidR="00CC55C7" w:rsidRPr="00980644">
        <w:t xml:space="preserve"> between the anionophoric properties of prodigi</w:t>
      </w:r>
      <w:r w:rsidR="00FF58C2" w:rsidRPr="00980644">
        <w:t>nines</w:t>
      </w:r>
      <w:r w:rsidR="00CC55C7" w:rsidRPr="00980644">
        <w:t xml:space="preserve"> </w:t>
      </w:r>
      <w:r w:rsidRPr="00980644">
        <w:rPr>
          <w:b/>
          <w:bCs/>
        </w:rPr>
        <w:t>1</w:t>
      </w:r>
      <w:r w:rsidR="00CC55C7" w:rsidRPr="00980644">
        <w:t xml:space="preserve"> and </w:t>
      </w:r>
      <w:r w:rsidRPr="00980644">
        <w:rPr>
          <w:b/>
          <w:bCs/>
        </w:rPr>
        <w:t>2</w:t>
      </w:r>
      <w:r w:rsidR="00CC55C7" w:rsidRPr="00980644">
        <w:t xml:space="preserve"> showed that the position of the </w:t>
      </w:r>
      <w:r w:rsidR="0063714D" w:rsidRPr="00980644">
        <w:t>furan</w:t>
      </w:r>
      <w:r w:rsidR="00CC55C7" w:rsidRPr="00980644">
        <w:t xml:space="preserve"> in </w:t>
      </w:r>
      <w:r w:rsidR="00FF58C2" w:rsidRPr="00980644">
        <w:t>these derivatives</w:t>
      </w:r>
      <w:r w:rsidR="00CC55C7" w:rsidRPr="00980644">
        <w:t xml:space="preserve"> compounds was crucial for the anion transport activity</w:t>
      </w:r>
      <w:r w:rsidR="00F66689" w:rsidRPr="00980644">
        <w:t xml:space="preserve">, being compound </w:t>
      </w:r>
      <w:r w:rsidR="00F66689" w:rsidRPr="00980644">
        <w:rPr>
          <w:b/>
        </w:rPr>
        <w:t>2</w:t>
      </w:r>
      <w:r w:rsidR="00F66689" w:rsidRPr="00980644">
        <w:t xml:space="preserve"> in which the furan ring is attached to the dipyrromethene moiety the most active derivative</w:t>
      </w:r>
      <w:r w:rsidR="00CC55C7" w:rsidRPr="00980644">
        <w:t>.</w:t>
      </w:r>
      <w:r w:rsidR="00F2597B" w:rsidRPr="00980644">
        <w:t xml:space="preserve"> These results suggest that, differently from prodigin</w:t>
      </w:r>
      <w:r w:rsidR="00AA56EE" w:rsidRPr="00980644">
        <w:t>in</w:t>
      </w:r>
      <w:r w:rsidR="00F2597B" w:rsidRPr="00980644">
        <w:t>es and tambjamines,</w:t>
      </w:r>
      <w:r w:rsidR="00AA56EE" w:rsidRPr="00980644">
        <w:t xml:space="preserve"> the</w:t>
      </w:r>
      <w:r w:rsidR="00F2597B" w:rsidRPr="00980644">
        <w:t xml:space="preserve"> biological activity of roseophilin is likely not related to its potential activity as anion carrier.</w:t>
      </w:r>
    </w:p>
    <w:p w14:paraId="38420AD2" w14:textId="77777777" w:rsidR="00556390" w:rsidRPr="00980644" w:rsidRDefault="00556390" w:rsidP="00556390">
      <w:pPr>
        <w:pStyle w:val="Ttulo1"/>
        <w:spacing w:line="480" w:lineRule="auto"/>
      </w:pPr>
      <w:r w:rsidRPr="00980644">
        <w:t>Acknowledgments</w:t>
      </w:r>
    </w:p>
    <w:p w14:paraId="58A5F3C1" w14:textId="77777777" w:rsidR="00556390" w:rsidRPr="00980644" w:rsidRDefault="00556390" w:rsidP="00556390">
      <w:pPr>
        <w:pStyle w:val="Ttulo1"/>
        <w:spacing w:line="480" w:lineRule="auto"/>
        <w:ind w:right="-6"/>
        <w:jc w:val="both"/>
      </w:pPr>
      <w:r w:rsidRPr="00980644">
        <w:rPr>
          <w:rFonts w:cs="Times New Roman"/>
          <w:b w:val="0"/>
          <w:bCs w:val="0"/>
          <w:kern w:val="0"/>
          <w:szCs w:val="24"/>
        </w:rPr>
        <w:t>We would like to thank</w:t>
      </w:r>
      <w:r w:rsidRPr="00980644">
        <w:t xml:space="preserve"> </w:t>
      </w:r>
      <w:r w:rsidRPr="00980644">
        <w:rPr>
          <w:rFonts w:cs="Times New Roman"/>
          <w:b w:val="0"/>
          <w:bCs w:val="0"/>
          <w:kern w:val="0"/>
          <w:szCs w:val="24"/>
        </w:rPr>
        <w:t xml:space="preserve">funding from Consejería de Educación de la Junta de Castilla y León and </w:t>
      </w:r>
      <w:r w:rsidRPr="00980644">
        <w:rPr>
          <w:b w:val="0"/>
        </w:rPr>
        <w:t xml:space="preserve">ERDF </w:t>
      </w:r>
      <w:r w:rsidRPr="00980644">
        <w:rPr>
          <w:rFonts w:cs="Times New Roman"/>
          <w:b w:val="0"/>
          <w:bCs w:val="0"/>
          <w:kern w:val="0"/>
          <w:szCs w:val="24"/>
        </w:rPr>
        <w:t xml:space="preserve">(project BU067P20) and MICN/AEI/10.13039/501100011033 (grant PID2020-117610RB-100). </w:t>
      </w:r>
      <w:r w:rsidRPr="00980644">
        <w:rPr>
          <w:b w:val="0"/>
        </w:rPr>
        <w:t>S.D.-C. and I. C.-B. thank Consejería de Educación de la Junta de Castilla y León, ERDF (European Regional Development Fund) and European Social Fund for their predoctoral (S. D.-C.) and postdoctoral (I. C.-B.) contracts. We also thank Andrea Sancho-Medina for her technical assistance.</w:t>
      </w:r>
    </w:p>
    <w:p w14:paraId="31133082" w14:textId="77777777" w:rsidR="003D415A" w:rsidRPr="00980644" w:rsidRDefault="003D415A" w:rsidP="003D415A">
      <w:pPr>
        <w:pStyle w:val="Ttulo1"/>
      </w:pPr>
    </w:p>
    <w:p w14:paraId="4838A718" w14:textId="77777777" w:rsidR="003D415A" w:rsidRPr="00980644" w:rsidRDefault="003D415A" w:rsidP="003D415A">
      <w:pPr>
        <w:pStyle w:val="Ttulo1"/>
      </w:pPr>
      <w:r w:rsidRPr="00980644">
        <w:t>Disclosure statement</w:t>
      </w:r>
    </w:p>
    <w:p w14:paraId="406F2294" w14:textId="77777777" w:rsidR="00ED01DE" w:rsidRPr="00980644" w:rsidRDefault="003D415A" w:rsidP="003D415A">
      <w:pPr>
        <w:pStyle w:val="Newparagraph"/>
        <w:ind w:firstLine="0"/>
        <w:jc w:val="both"/>
      </w:pPr>
      <w:r w:rsidRPr="00980644">
        <w:t>No potential conflict of interest was reported by the author(s).</w:t>
      </w:r>
    </w:p>
    <w:p w14:paraId="028E5FF6" w14:textId="77777777" w:rsidR="003D415A" w:rsidRPr="00306F0F" w:rsidRDefault="003D415A" w:rsidP="003D415A">
      <w:pPr>
        <w:pStyle w:val="Ttulo1"/>
        <w:rPr>
          <w:lang w:val="es-ES"/>
        </w:rPr>
      </w:pPr>
      <w:r w:rsidRPr="00306F0F">
        <w:rPr>
          <w:lang w:val="es-ES"/>
        </w:rPr>
        <w:t>ORCID</w:t>
      </w:r>
    </w:p>
    <w:p w14:paraId="2B040BD4" w14:textId="643D09F9" w:rsidR="004B67C7" w:rsidRPr="00306F0F" w:rsidRDefault="0024575D" w:rsidP="0024575D">
      <w:pPr>
        <w:pStyle w:val="Newparagraph"/>
        <w:ind w:firstLine="0"/>
        <w:jc w:val="both"/>
        <w:rPr>
          <w:lang w:val="es-ES"/>
        </w:rPr>
      </w:pPr>
      <w:r w:rsidRPr="00306F0F">
        <w:rPr>
          <w:lang w:val="es-ES"/>
        </w:rPr>
        <w:t xml:space="preserve">Sandra Díaz-Cabrera </w:t>
      </w:r>
      <w:r w:rsidR="004B67C7" w:rsidRPr="00306F0F">
        <w:rPr>
          <w:lang w:val="es-ES"/>
        </w:rPr>
        <w:t>https://orcid.org/0000-0002-0005-782X</w:t>
      </w:r>
    </w:p>
    <w:p w14:paraId="554684FB" w14:textId="4A27462E" w:rsidR="0024575D" w:rsidRPr="00306F0F" w:rsidRDefault="0024575D" w:rsidP="0024575D">
      <w:pPr>
        <w:pStyle w:val="Newparagraph"/>
        <w:ind w:firstLine="0"/>
        <w:jc w:val="both"/>
        <w:rPr>
          <w:lang w:val="es-ES"/>
        </w:rPr>
      </w:pPr>
      <w:r w:rsidRPr="00306F0F">
        <w:rPr>
          <w:lang w:val="es-ES"/>
        </w:rPr>
        <w:t xml:space="preserve">Israel </w:t>
      </w:r>
      <w:proofErr w:type="spellStart"/>
      <w:r w:rsidRPr="00306F0F">
        <w:rPr>
          <w:lang w:val="es-ES"/>
        </w:rPr>
        <w:t>Carreira</w:t>
      </w:r>
      <w:proofErr w:type="spellEnd"/>
      <w:r w:rsidRPr="00306F0F">
        <w:rPr>
          <w:lang w:val="es-ES"/>
        </w:rPr>
        <w:t>-Barral http://orcid.org/</w:t>
      </w:r>
      <w:r w:rsidR="0020095D" w:rsidRPr="00306F0F">
        <w:rPr>
          <w:lang w:val="es-ES"/>
        </w:rPr>
        <w:t>0000-0002-4835-8752</w:t>
      </w:r>
    </w:p>
    <w:p w14:paraId="0D686E2C" w14:textId="40636394" w:rsidR="0024575D" w:rsidRPr="00306F0F" w:rsidRDefault="0024575D" w:rsidP="0024575D">
      <w:pPr>
        <w:pStyle w:val="Newparagraph"/>
        <w:ind w:firstLine="0"/>
        <w:jc w:val="both"/>
        <w:rPr>
          <w:lang w:val="es-ES"/>
        </w:rPr>
      </w:pPr>
      <w:r w:rsidRPr="00306F0F">
        <w:rPr>
          <w:lang w:val="es-ES"/>
        </w:rPr>
        <w:t>María García-Valverde http://orcid.org/</w:t>
      </w:r>
      <w:r w:rsidR="0020095D" w:rsidRPr="00306F0F">
        <w:rPr>
          <w:lang w:val="es-ES"/>
        </w:rPr>
        <w:t>0000-0002-3990-8388</w:t>
      </w:r>
    </w:p>
    <w:p w14:paraId="7A57516B" w14:textId="2F26E315" w:rsidR="003D415A" w:rsidRPr="00306F0F" w:rsidRDefault="0024575D" w:rsidP="0024575D">
      <w:pPr>
        <w:pStyle w:val="Newparagraph"/>
        <w:ind w:firstLine="0"/>
        <w:jc w:val="both"/>
        <w:rPr>
          <w:lang w:val="es-ES"/>
        </w:rPr>
      </w:pPr>
      <w:r w:rsidRPr="00306F0F">
        <w:rPr>
          <w:lang w:val="es-ES"/>
        </w:rPr>
        <w:t xml:space="preserve">Roberto Quesada </w:t>
      </w:r>
      <w:r w:rsidR="0020095D" w:rsidRPr="00306F0F">
        <w:rPr>
          <w:lang w:val="es-ES"/>
        </w:rPr>
        <w:t>http://orcid.org/0000-0003-2764-7157</w:t>
      </w:r>
    </w:p>
    <w:p w14:paraId="02DB61FF" w14:textId="5E982D02" w:rsidR="0024575D" w:rsidRPr="00980644" w:rsidRDefault="003D415A" w:rsidP="003D415A">
      <w:pPr>
        <w:pStyle w:val="Ttulo1"/>
      </w:pPr>
      <w:r w:rsidRPr="00980644">
        <w:lastRenderedPageBreak/>
        <w:t>References</w:t>
      </w:r>
    </w:p>
    <w:p w14:paraId="3233616D" w14:textId="01F61699" w:rsidR="00952A45" w:rsidRPr="00980644" w:rsidRDefault="00952A45" w:rsidP="004D16CA">
      <w:pPr>
        <w:pStyle w:val="References"/>
        <w:jc w:val="both"/>
      </w:pPr>
      <w:r w:rsidRPr="00980644">
        <w:t xml:space="preserve">[1] </w:t>
      </w:r>
      <w:r w:rsidR="00B90636" w:rsidRPr="00980644">
        <w:tab/>
      </w:r>
      <w:r w:rsidR="00F82354" w:rsidRPr="00980644">
        <w:t xml:space="preserve">Davis JT, Gale PA, Quesada R. </w:t>
      </w:r>
      <w:r w:rsidR="00771F8C" w:rsidRPr="00980644">
        <w:t xml:space="preserve">Advances in anion transport and supramolecular medicinal chemistry. Chem Soc Rev. </w:t>
      </w:r>
      <w:r w:rsidR="00771F8C" w:rsidRPr="00980644">
        <w:rPr>
          <w:b/>
          <w:bCs/>
        </w:rPr>
        <w:t>2020</w:t>
      </w:r>
      <w:r w:rsidR="00771F8C" w:rsidRPr="00980644">
        <w:t>;49:6056–6086</w:t>
      </w:r>
      <w:r w:rsidR="00F82354" w:rsidRPr="00980644">
        <w:t>.</w:t>
      </w:r>
      <w:r w:rsidR="004D16CA" w:rsidRPr="00980644">
        <w:t xml:space="preserve"> DOI: 10.1039/C9CS00662A.</w:t>
      </w:r>
    </w:p>
    <w:p w14:paraId="02A5AADA" w14:textId="772D2CFA" w:rsidR="00952A45" w:rsidRPr="00980644" w:rsidRDefault="00952A45" w:rsidP="004D16CA">
      <w:pPr>
        <w:pStyle w:val="References"/>
        <w:jc w:val="both"/>
      </w:pPr>
      <w:r w:rsidRPr="00980644">
        <w:t xml:space="preserve">[2] </w:t>
      </w:r>
      <w:r w:rsidR="00B90636" w:rsidRPr="00980644">
        <w:tab/>
      </w:r>
      <w:r w:rsidRPr="00980644">
        <w:t>Wu X</w:t>
      </w:r>
      <w:r w:rsidR="00771F8C" w:rsidRPr="00980644">
        <w:t>,</w:t>
      </w:r>
      <w:r w:rsidRPr="00980644">
        <w:t xml:space="preserve"> Gilchrist</w:t>
      </w:r>
      <w:r w:rsidR="00771F8C" w:rsidRPr="00980644">
        <w:t xml:space="preserve"> AM,</w:t>
      </w:r>
      <w:r w:rsidRPr="00980644">
        <w:t xml:space="preserve"> Gale</w:t>
      </w:r>
      <w:r w:rsidR="00771F8C" w:rsidRPr="00980644">
        <w:t xml:space="preserve"> PA</w:t>
      </w:r>
      <w:r w:rsidRPr="00980644">
        <w:t xml:space="preserve">. </w:t>
      </w:r>
      <w:r w:rsidR="00771F8C" w:rsidRPr="00980644">
        <w:t xml:space="preserve">Prospects and Challenges in Anion Recognition and Transport. Chem. </w:t>
      </w:r>
      <w:r w:rsidR="00771F8C" w:rsidRPr="00980644">
        <w:rPr>
          <w:b/>
          <w:bCs/>
        </w:rPr>
        <w:t>2020</w:t>
      </w:r>
      <w:r w:rsidR="00771F8C" w:rsidRPr="00980644">
        <w:t>;6: 1296–1309</w:t>
      </w:r>
      <w:r w:rsidRPr="00980644">
        <w:t>.</w:t>
      </w:r>
      <w:r w:rsidR="004D16CA" w:rsidRPr="00980644">
        <w:t xml:space="preserve"> DOI: 10.1016/j.chempr.2020.05.001.</w:t>
      </w:r>
    </w:p>
    <w:p w14:paraId="28983128" w14:textId="3A721FE4" w:rsidR="00952A45" w:rsidRPr="00980644" w:rsidRDefault="00952A45" w:rsidP="004D16CA">
      <w:pPr>
        <w:pStyle w:val="References"/>
        <w:jc w:val="both"/>
      </w:pPr>
      <w:r w:rsidRPr="00980644">
        <w:t xml:space="preserve">[3] </w:t>
      </w:r>
      <w:r w:rsidR="00B90636" w:rsidRPr="00980644">
        <w:tab/>
      </w:r>
      <w:r w:rsidRPr="00980644">
        <w:t>Busschaert N</w:t>
      </w:r>
      <w:r w:rsidR="00771F8C" w:rsidRPr="00980644">
        <w:t>,</w:t>
      </w:r>
      <w:r w:rsidRPr="00980644">
        <w:t xml:space="preserve"> Caltagirone C</w:t>
      </w:r>
      <w:r w:rsidR="00771F8C" w:rsidRPr="00980644">
        <w:t>,</w:t>
      </w:r>
      <w:r w:rsidRPr="00980644">
        <w:t xml:space="preserve"> Van Rossom</w:t>
      </w:r>
      <w:r w:rsidR="00771F8C" w:rsidRPr="00980644">
        <w:t xml:space="preserve"> W,</w:t>
      </w:r>
      <w:r w:rsidRPr="00980644">
        <w:t xml:space="preserve"> </w:t>
      </w:r>
      <w:r w:rsidR="00641F10" w:rsidRPr="00980644">
        <w:t>Gale</w:t>
      </w:r>
      <w:r w:rsidR="00771F8C" w:rsidRPr="00980644">
        <w:t xml:space="preserve"> PA</w:t>
      </w:r>
      <w:r w:rsidRPr="00980644">
        <w:t xml:space="preserve">. </w:t>
      </w:r>
      <w:r w:rsidR="00771F8C" w:rsidRPr="00980644">
        <w:t xml:space="preserve">Applications of Supramolecular Anion Recognition. Chem Rev. </w:t>
      </w:r>
      <w:r w:rsidR="00771F8C" w:rsidRPr="00980644">
        <w:rPr>
          <w:b/>
          <w:bCs/>
        </w:rPr>
        <w:t>2015</w:t>
      </w:r>
      <w:r w:rsidR="00771F8C" w:rsidRPr="00980644">
        <w:t>;115:8038–8155</w:t>
      </w:r>
      <w:r w:rsidRPr="00980644">
        <w:t>.</w:t>
      </w:r>
      <w:r w:rsidR="00641F10" w:rsidRPr="00980644">
        <w:t xml:space="preserve"> DOI: 10.1021/acs.chemrev.5b00099.</w:t>
      </w:r>
    </w:p>
    <w:p w14:paraId="75D640BB" w14:textId="5998D49D" w:rsidR="00952A45" w:rsidRPr="00980644" w:rsidRDefault="00952A45" w:rsidP="004D16CA">
      <w:pPr>
        <w:pStyle w:val="References"/>
        <w:jc w:val="both"/>
      </w:pPr>
      <w:r w:rsidRPr="00980644">
        <w:t xml:space="preserve">[4] </w:t>
      </w:r>
      <w:r w:rsidR="00B90636" w:rsidRPr="00980644">
        <w:tab/>
      </w:r>
      <w:r w:rsidRPr="00980644">
        <w:t>Bickerton</w:t>
      </w:r>
      <w:r w:rsidR="00771F8C" w:rsidRPr="00980644">
        <w:t xml:space="preserve"> LE,</w:t>
      </w:r>
      <w:r w:rsidRPr="00980644">
        <w:t xml:space="preserve"> Johnson</w:t>
      </w:r>
      <w:r w:rsidR="00771F8C" w:rsidRPr="00980644">
        <w:t xml:space="preserve"> TG,</w:t>
      </w:r>
      <w:r w:rsidRPr="00980644">
        <w:t xml:space="preserve"> Kerckhoffs</w:t>
      </w:r>
      <w:r w:rsidR="00771F8C" w:rsidRPr="00980644">
        <w:t xml:space="preserve"> A,</w:t>
      </w:r>
      <w:r w:rsidR="00641F10" w:rsidRPr="00980644">
        <w:t xml:space="preserve"> Langton</w:t>
      </w:r>
      <w:r w:rsidR="00771F8C" w:rsidRPr="00980644">
        <w:t xml:space="preserve"> MJ</w:t>
      </w:r>
      <w:r w:rsidR="00641F10" w:rsidRPr="00980644">
        <w:t>.</w:t>
      </w:r>
      <w:r w:rsidRPr="00980644">
        <w:t xml:space="preserve"> </w:t>
      </w:r>
      <w:r w:rsidR="00771F8C" w:rsidRPr="00980644">
        <w:t xml:space="preserve">Supramolecular chemistry in lipid bilayer membranes Chem Sci. </w:t>
      </w:r>
      <w:r w:rsidR="00771F8C" w:rsidRPr="00980644">
        <w:rPr>
          <w:b/>
          <w:bCs/>
        </w:rPr>
        <w:t>2021</w:t>
      </w:r>
      <w:r w:rsidR="00771F8C" w:rsidRPr="00980644">
        <w:t>;12:11252–11274</w:t>
      </w:r>
      <w:r w:rsidRPr="00980644">
        <w:t>.</w:t>
      </w:r>
      <w:r w:rsidR="00F075B8" w:rsidRPr="00980644">
        <w:t xml:space="preserve"> DOI: 10.1039/D1SC03545B.</w:t>
      </w:r>
    </w:p>
    <w:p w14:paraId="7F4D6160" w14:textId="7355E16A" w:rsidR="00952A45" w:rsidRPr="00980644" w:rsidRDefault="00952A45" w:rsidP="004D16CA">
      <w:pPr>
        <w:pStyle w:val="References"/>
        <w:jc w:val="both"/>
      </w:pPr>
      <w:r w:rsidRPr="00980644">
        <w:t xml:space="preserve">[5] </w:t>
      </w:r>
      <w:r w:rsidR="00B90636" w:rsidRPr="00980644">
        <w:tab/>
      </w:r>
      <w:r w:rsidRPr="00980644">
        <w:t>Spooner</w:t>
      </w:r>
      <w:r w:rsidR="00771F8C" w:rsidRPr="00980644">
        <w:t xml:space="preserve"> MJ,</w:t>
      </w:r>
      <w:r w:rsidRPr="00980644">
        <w:t xml:space="preserve"> Li</w:t>
      </w:r>
      <w:r w:rsidR="00771F8C" w:rsidRPr="00980644">
        <w:t xml:space="preserve"> H,</w:t>
      </w:r>
      <w:r w:rsidRPr="00980644">
        <w:t xml:space="preserve"> Marques</w:t>
      </w:r>
      <w:r w:rsidR="00771F8C" w:rsidRPr="00980644">
        <w:t xml:space="preserve"> I,</w:t>
      </w:r>
      <w:r w:rsidRPr="00980644">
        <w:t xml:space="preserve"> </w:t>
      </w:r>
      <w:r w:rsidR="00F075B8" w:rsidRPr="00980644">
        <w:t>Costa</w:t>
      </w:r>
      <w:r w:rsidR="00771F8C" w:rsidRPr="00980644">
        <w:t xml:space="preserve"> PMR, </w:t>
      </w:r>
      <w:r w:rsidR="00F075B8" w:rsidRPr="00980644">
        <w:t>Wu</w:t>
      </w:r>
      <w:r w:rsidR="00771F8C" w:rsidRPr="00980644">
        <w:t xml:space="preserve"> X,</w:t>
      </w:r>
      <w:r w:rsidR="00F075B8" w:rsidRPr="00980644">
        <w:t xml:space="preserve"> Howe</w:t>
      </w:r>
      <w:r w:rsidR="00771F8C" w:rsidRPr="00980644">
        <w:t xml:space="preserve"> ENW,</w:t>
      </w:r>
      <w:r w:rsidR="00F075B8" w:rsidRPr="00980644">
        <w:t xml:space="preserve"> Busschaert</w:t>
      </w:r>
      <w:r w:rsidR="00771F8C" w:rsidRPr="00980644">
        <w:t xml:space="preserve"> N,</w:t>
      </w:r>
      <w:r w:rsidR="00F075B8" w:rsidRPr="00980644">
        <w:t xml:space="preserve"> Moore</w:t>
      </w:r>
      <w:r w:rsidR="00771F8C" w:rsidRPr="00980644">
        <w:t xml:space="preserve"> SJ,</w:t>
      </w:r>
      <w:r w:rsidR="00F075B8" w:rsidRPr="00980644">
        <w:t xml:space="preserve"> Light</w:t>
      </w:r>
      <w:r w:rsidR="00771F8C" w:rsidRPr="00980644">
        <w:t xml:space="preserve"> ME,</w:t>
      </w:r>
      <w:r w:rsidR="00F075B8" w:rsidRPr="00980644">
        <w:t xml:space="preserve"> Sheppard</w:t>
      </w:r>
      <w:r w:rsidR="00771F8C" w:rsidRPr="00980644">
        <w:t xml:space="preserve"> DN, </w:t>
      </w:r>
      <w:r w:rsidR="00F075B8" w:rsidRPr="00980644">
        <w:t>Félix</w:t>
      </w:r>
      <w:r w:rsidR="00771F8C" w:rsidRPr="00980644">
        <w:t xml:space="preserve"> V,</w:t>
      </w:r>
      <w:r w:rsidR="00F075B8" w:rsidRPr="00980644">
        <w:t xml:space="preserve"> Gale</w:t>
      </w:r>
      <w:r w:rsidR="00771F8C" w:rsidRPr="00980644">
        <w:t xml:space="preserve"> PA</w:t>
      </w:r>
      <w:r w:rsidR="00F075B8" w:rsidRPr="00980644">
        <w:t xml:space="preserve">. </w:t>
      </w:r>
      <w:r w:rsidR="00771F8C" w:rsidRPr="00980644">
        <w:t xml:space="preserve">Fluorinated synthetic anion carriers: experimental and computational insights into transmembrane chloride transport. Chem Sci. </w:t>
      </w:r>
      <w:r w:rsidR="00771F8C" w:rsidRPr="00980644">
        <w:rPr>
          <w:b/>
          <w:bCs/>
        </w:rPr>
        <w:t>2019</w:t>
      </w:r>
      <w:r w:rsidR="00771F8C" w:rsidRPr="00980644">
        <w:t>;10(7):1976–1985</w:t>
      </w:r>
      <w:r w:rsidRPr="00980644">
        <w:t>.</w:t>
      </w:r>
      <w:r w:rsidR="00BE420C" w:rsidRPr="00980644">
        <w:t xml:space="preserve"> DOI: 10.1039/C8SC05155K.</w:t>
      </w:r>
    </w:p>
    <w:p w14:paraId="7CDCAA9B" w14:textId="6B723468" w:rsidR="00952A45" w:rsidRPr="00980644" w:rsidRDefault="00952A45" w:rsidP="004D16CA">
      <w:pPr>
        <w:pStyle w:val="References"/>
        <w:jc w:val="both"/>
      </w:pPr>
      <w:r w:rsidRPr="00980644">
        <w:t xml:space="preserve">[6] </w:t>
      </w:r>
      <w:r w:rsidR="00B90636" w:rsidRPr="00980644">
        <w:tab/>
      </w:r>
      <w:proofErr w:type="spellStart"/>
      <w:r w:rsidR="00771F8C" w:rsidRPr="00980644">
        <w:t>Picci</w:t>
      </w:r>
      <w:proofErr w:type="spellEnd"/>
      <w:r w:rsidR="00771F8C" w:rsidRPr="00980644">
        <w:t xml:space="preserve"> G, </w:t>
      </w:r>
      <w:proofErr w:type="spellStart"/>
      <w:r w:rsidR="00771F8C" w:rsidRPr="00980644">
        <w:t>Marchesan</w:t>
      </w:r>
      <w:proofErr w:type="spellEnd"/>
      <w:r w:rsidR="00771F8C" w:rsidRPr="00980644">
        <w:t xml:space="preserve"> S, </w:t>
      </w:r>
      <w:proofErr w:type="spellStart"/>
      <w:r w:rsidR="00771F8C" w:rsidRPr="00980644">
        <w:t>Caltagirone</w:t>
      </w:r>
      <w:proofErr w:type="spellEnd"/>
      <w:r w:rsidR="00771F8C" w:rsidRPr="00980644">
        <w:t xml:space="preserve"> C. Ion Channels and Transporters as Therapeutic Agents: From Biomolecules to Supramolecular Medicinal Chemistry. Biomedicines. </w:t>
      </w:r>
      <w:r w:rsidR="00771F8C" w:rsidRPr="00980644">
        <w:rPr>
          <w:b/>
          <w:bCs/>
        </w:rPr>
        <w:t>2022</w:t>
      </w:r>
      <w:r w:rsidR="00771F8C" w:rsidRPr="00980644">
        <w:t>;10(4):885–908</w:t>
      </w:r>
      <w:r w:rsidR="002B0428" w:rsidRPr="00980644">
        <w:t>. DOI: 10.3390/biomedicines10040885.</w:t>
      </w:r>
    </w:p>
    <w:p w14:paraId="3889EDFA" w14:textId="1FF42645" w:rsidR="00952A45" w:rsidRPr="00980644" w:rsidRDefault="00952A45" w:rsidP="004D16CA">
      <w:pPr>
        <w:pStyle w:val="References"/>
        <w:jc w:val="both"/>
      </w:pPr>
      <w:r w:rsidRPr="00980644">
        <w:t xml:space="preserve">[7]  </w:t>
      </w:r>
      <w:r w:rsidR="00B90636" w:rsidRPr="00980644">
        <w:tab/>
      </w:r>
      <w:r w:rsidR="00771F8C" w:rsidRPr="00980644">
        <w:t xml:space="preserve">Roy A, Talukdar P. Recent Advances in Bioactive Artificial Ionophores. Chem Bio Chem. </w:t>
      </w:r>
      <w:r w:rsidR="00771F8C" w:rsidRPr="00980644">
        <w:rPr>
          <w:b/>
          <w:bCs/>
        </w:rPr>
        <w:t>2021</w:t>
      </w:r>
      <w:r w:rsidR="00771F8C" w:rsidRPr="00980644">
        <w:t xml:space="preserve">;22:2925–2940. </w:t>
      </w:r>
      <w:r w:rsidRPr="00980644">
        <w:t>DOI:</w:t>
      </w:r>
      <w:r w:rsidR="002B0428" w:rsidRPr="00980644">
        <w:t xml:space="preserve"> </w:t>
      </w:r>
      <w:r w:rsidRPr="00980644">
        <w:t>10.1002/cbic.202100112</w:t>
      </w:r>
      <w:r w:rsidR="002B0428" w:rsidRPr="00980644">
        <w:t>.</w:t>
      </w:r>
    </w:p>
    <w:p w14:paraId="709024B6" w14:textId="2AA3AEB9" w:rsidR="00952A45" w:rsidRPr="00980644" w:rsidRDefault="00952A45" w:rsidP="004D16CA">
      <w:pPr>
        <w:pStyle w:val="References"/>
        <w:jc w:val="both"/>
      </w:pPr>
      <w:r w:rsidRPr="00980644">
        <w:t xml:space="preserve">[8] </w:t>
      </w:r>
      <w:r w:rsidR="00B90636" w:rsidRPr="00980644">
        <w:tab/>
      </w:r>
      <w:r w:rsidR="00771F8C" w:rsidRPr="00980644">
        <w:t xml:space="preserve">Akhtar N, Biswas O, Manna D. Biological applications of synthetic anion transporters. Chem </w:t>
      </w:r>
      <w:proofErr w:type="spellStart"/>
      <w:r w:rsidR="00771F8C" w:rsidRPr="00980644">
        <w:t>Commun</w:t>
      </w:r>
      <w:proofErr w:type="spellEnd"/>
      <w:r w:rsidR="00771F8C" w:rsidRPr="00980644">
        <w:t xml:space="preserve">. </w:t>
      </w:r>
      <w:r w:rsidR="00771F8C" w:rsidRPr="00980644">
        <w:rPr>
          <w:b/>
          <w:bCs/>
        </w:rPr>
        <w:t>2020</w:t>
      </w:r>
      <w:r w:rsidR="00771F8C" w:rsidRPr="00980644">
        <w:t>;56:14137–14153</w:t>
      </w:r>
      <w:r w:rsidR="00FE6BDA" w:rsidRPr="00980644">
        <w:t>. DOI: 10.1039/D0CC05489E.</w:t>
      </w:r>
    </w:p>
    <w:p w14:paraId="6F02CA86" w14:textId="695386E6" w:rsidR="00952A45" w:rsidRPr="00980644" w:rsidRDefault="00952A45" w:rsidP="004D16CA">
      <w:pPr>
        <w:pStyle w:val="References"/>
        <w:jc w:val="both"/>
      </w:pPr>
      <w:r w:rsidRPr="00980644">
        <w:t xml:space="preserve">[9] </w:t>
      </w:r>
      <w:r w:rsidR="00B90636" w:rsidRPr="00980644">
        <w:tab/>
      </w:r>
      <w:r w:rsidRPr="00980644">
        <w:t>Akhtar</w:t>
      </w:r>
      <w:r w:rsidR="00EA0358" w:rsidRPr="00980644">
        <w:t xml:space="preserve"> </w:t>
      </w:r>
      <w:r w:rsidRPr="00980644">
        <w:t>N</w:t>
      </w:r>
      <w:r w:rsidR="00EA0358" w:rsidRPr="00980644">
        <w:t>,</w:t>
      </w:r>
      <w:r w:rsidRPr="00980644">
        <w:t xml:space="preserve"> Pradhan</w:t>
      </w:r>
      <w:r w:rsidR="00EA0358" w:rsidRPr="00980644">
        <w:t xml:space="preserve"> N,</w:t>
      </w:r>
      <w:r w:rsidRPr="00980644">
        <w:t xml:space="preserve"> </w:t>
      </w:r>
      <w:proofErr w:type="spellStart"/>
      <w:r w:rsidRPr="00980644">
        <w:t>Saha</w:t>
      </w:r>
      <w:proofErr w:type="spellEnd"/>
      <w:r w:rsidR="00EA0358" w:rsidRPr="00980644">
        <w:t xml:space="preserve"> A,</w:t>
      </w:r>
      <w:r w:rsidR="00D14AED" w:rsidRPr="00980644">
        <w:t xml:space="preserve"> Kumar</w:t>
      </w:r>
      <w:r w:rsidR="00EA0358" w:rsidRPr="00980644">
        <w:t xml:space="preserve"> V,</w:t>
      </w:r>
      <w:r w:rsidR="00D14AED" w:rsidRPr="00980644">
        <w:t xml:space="preserve"> Biswas</w:t>
      </w:r>
      <w:r w:rsidR="00EA0358" w:rsidRPr="00980644">
        <w:t xml:space="preserve"> O,</w:t>
      </w:r>
      <w:r w:rsidR="00D14AED" w:rsidRPr="00980644">
        <w:t xml:space="preserve"> Dey</w:t>
      </w:r>
      <w:r w:rsidR="00EA0358" w:rsidRPr="00980644">
        <w:t xml:space="preserve"> S,</w:t>
      </w:r>
      <w:r w:rsidR="00D14AED" w:rsidRPr="00980644">
        <w:t xml:space="preserve"> Shah</w:t>
      </w:r>
      <w:r w:rsidR="00EA0358" w:rsidRPr="00980644">
        <w:t xml:space="preserve"> M,</w:t>
      </w:r>
      <w:r w:rsidR="00D14AED" w:rsidRPr="00980644">
        <w:t xml:space="preserve"> Kumar</w:t>
      </w:r>
      <w:r w:rsidR="00EA0358" w:rsidRPr="00980644">
        <w:t xml:space="preserve"> S,</w:t>
      </w:r>
      <w:r w:rsidR="00D14AED" w:rsidRPr="00980644">
        <w:t xml:space="preserve"> Manna D.</w:t>
      </w:r>
      <w:r w:rsidRPr="00980644">
        <w:t xml:space="preserve"> </w:t>
      </w:r>
      <w:r w:rsidR="00EA0358" w:rsidRPr="00980644">
        <w:t xml:space="preserve">Tuning the solubility of ionophores: glutathione-mediated transport of chloride ions across hydrophobic membranes. Chem </w:t>
      </w:r>
      <w:proofErr w:type="spellStart"/>
      <w:r w:rsidR="00EA0358" w:rsidRPr="00980644">
        <w:t>Commun</w:t>
      </w:r>
      <w:proofErr w:type="spellEnd"/>
      <w:r w:rsidR="00EA0358" w:rsidRPr="00980644">
        <w:t xml:space="preserve">. </w:t>
      </w:r>
      <w:r w:rsidR="00EA0358" w:rsidRPr="00980644">
        <w:rPr>
          <w:b/>
          <w:bCs/>
        </w:rPr>
        <w:t>2019</w:t>
      </w:r>
      <w:r w:rsidR="00EA0358" w:rsidRPr="00980644">
        <w:t>;55:8482–8485</w:t>
      </w:r>
      <w:r w:rsidRPr="00980644">
        <w:t>.</w:t>
      </w:r>
      <w:r w:rsidR="00D14AED" w:rsidRPr="00980644">
        <w:t xml:space="preserve"> DOI: 10.1039/C9CC04518J.</w:t>
      </w:r>
    </w:p>
    <w:p w14:paraId="4D2191FC" w14:textId="77DF5E80" w:rsidR="00952A45" w:rsidRPr="00980644" w:rsidRDefault="00952A45" w:rsidP="004D16CA">
      <w:pPr>
        <w:pStyle w:val="References"/>
        <w:jc w:val="both"/>
      </w:pPr>
      <w:r w:rsidRPr="00980644">
        <w:t xml:space="preserve">[10] </w:t>
      </w:r>
      <w:r w:rsidR="00B90636" w:rsidRPr="00980644">
        <w:tab/>
      </w:r>
      <w:r w:rsidRPr="00980644">
        <w:t>Ko</w:t>
      </w:r>
      <w:r w:rsidR="00EA0358" w:rsidRPr="00980644">
        <w:t xml:space="preserve"> S</w:t>
      </w:r>
      <w:r w:rsidRPr="00980644">
        <w:t>K</w:t>
      </w:r>
      <w:r w:rsidR="00EA0358" w:rsidRPr="00980644">
        <w:t xml:space="preserve">, </w:t>
      </w:r>
      <w:r w:rsidRPr="00980644">
        <w:t>Kim</w:t>
      </w:r>
      <w:r w:rsidR="00EA0358" w:rsidRPr="00980644">
        <w:t xml:space="preserve"> SK,</w:t>
      </w:r>
      <w:r w:rsidRPr="00980644">
        <w:t xml:space="preserve"> Share</w:t>
      </w:r>
      <w:r w:rsidR="00EA0358" w:rsidRPr="00980644">
        <w:t xml:space="preserve"> A,</w:t>
      </w:r>
      <w:r w:rsidRPr="00980644">
        <w:t xml:space="preserve"> </w:t>
      </w:r>
      <w:r w:rsidR="00D14AED" w:rsidRPr="00980644">
        <w:t>Lynch</w:t>
      </w:r>
      <w:r w:rsidR="00EA0358" w:rsidRPr="00980644">
        <w:t xml:space="preserve"> VM,</w:t>
      </w:r>
      <w:r w:rsidR="00D14AED" w:rsidRPr="00980644">
        <w:t xml:space="preserve"> Park</w:t>
      </w:r>
      <w:r w:rsidR="00EA0358" w:rsidRPr="00980644">
        <w:t xml:space="preserve"> J,</w:t>
      </w:r>
      <w:r w:rsidR="00D14AED" w:rsidRPr="00980644">
        <w:t xml:space="preserve"> </w:t>
      </w:r>
      <w:proofErr w:type="spellStart"/>
      <w:r w:rsidR="00D14AED" w:rsidRPr="00980644">
        <w:t>Namkung</w:t>
      </w:r>
      <w:proofErr w:type="spellEnd"/>
      <w:r w:rsidR="00EA0358" w:rsidRPr="00980644">
        <w:t xml:space="preserve"> W,</w:t>
      </w:r>
      <w:r w:rsidR="00D14AED" w:rsidRPr="00980644">
        <w:t xml:space="preserve"> Van </w:t>
      </w:r>
      <w:proofErr w:type="spellStart"/>
      <w:r w:rsidR="00D14AED" w:rsidRPr="00980644">
        <w:t>Rossom</w:t>
      </w:r>
      <w:proofErr w:type="spellEnd"/>
      <w:r w:rsidR="00EA0358" w:rsidRPr="00980644">
        <w:t xml:space="preserve"> W,</w:t>
      </w:r>
      <w:r w:rsidR="00D14AED" w:rsidRPr="00980644">
        <w:t xml:space="preserve"> Busschaert</w:t>
      </w:r>
      <w:r w:rsidR="00EA0358" w:rsidRPr="00980644">
        <w:t xml:space="preserve"> N,</w:t>
      </w:r>
      <w:r w:rsidR="00D14AED" w:rsidRPr="00980644">
        <w:t xml:space="preserve"> Gale</w:t>
      </w:r>
      <w:r w:rsidR="00EA0358" w:rsidRPr="00980644">
        <w:t xml:space="preserve"> PA,</w:t>
      </w:r>
      <w:r w:rsidR="00D14AED" w:rsidRPr="00980644">
        <w:t xml:space="preserve"> Sessler</w:t>
      </w:r>
      <w:r w:rsidR="00EA0358" w:rsidRPr="00980644">
        <w:t xml:space="preserve"> JL,</w:t>
      </w:r>
      <w:r w:rsidR="00D14AED" w:rsidRPr="00980644">
        <w:t xml:space="preserve"> Shin I. </w:t>
      </w:r>
      <w:r w:rsidR="00EA0358" w:rsidRPr="00980644">
        <w:t xml:space="preserve">Synthetic ion transporters can induce apoptosis by facilitating chloride anion transport into cells. Nat Chem. </w:t>
      </w:r>
      <w:r w:rsidR="00EA0358" w:rsidRPr="00980644">
        <w:rPr>
          <w:b/>
          <w:bCs/>
        </w:rPr>
        <w:t>2014</w:t>
      </w:r>
      <w:r w:rsidR="00EA0358" w:rsidRPr="00980644">
        <w:t>;6(10):885–892</w:t>
      </w:r>
      <w:r w:rsidRPr="00980644">
        <w:t>.</w:t>
      </w:r>
      <w:r w:rsidR="00D14AED" w:rsidRPr="00980644">
        <w:t xml:space="preserve"> DOI: </w:t>
      </w:r>
      <w:r w:rsidR="00D14AED" w:rsidRPr="00980644">
        <w:rPr>
          <w:rStyle w:val="c-bibliographic-informationvalue"/>
        </w:rPr>
        <w:t>10.1038/nchem.2021.</w:t>
      </w:r>
    </w:p>
    <w:p w14:paraId="09B2816C" w14:textId="17FCFAAE" w:rsidR="00952A45" w:rsidRPr="00980644" w:rsidRDefault="00952A45" w:rsidP="004D16CA">
      <w:pPr>
        <w:pStyle w:val="References"/>
        <w:jc w:val="both"/>
      </w:pPr>
      <w:r w:rsidRPr="00980644">
        <w:lastRenderedPageBreak/>
        <w:t xml:space="preserve">[11] </w:t>
      </w:r>
      <w:r w:rsidR="00B90636" w:rsidRPr="00980644">
        <w:tab/>
      </w:r>
      <w:proofErr w:type="spellStart"/>
      <w:r w:rsidRPr="00980644">
        <w:t>Rodilla</w:t>
      </w:r>
      <w:proofErr w:type="spellEnd"/>
      <w:r w:rsidR="00EA0358" w:rsidRPr="00980644">
        <w:t xml:space="preserve"> L,</w:t>
      </w:r>
      <w:r w:rsidRPr="00980644">
        <w:t xml:space="preserve"> </w:t>
      </w:r>
      <w:proofErr w:type="spellStart"/>
      <w:r w:rsidRPr="00980644">
        <w:t>Korrodi-Gregório</w:t>
      </w:r>
      <w:proofErr w:type="spellEnd"/>
      <w:r w:rsidR="00EA0358" w:rsidRPr="00980644">
        <w:t xml:space="preserve"> AM,</w:t>
      </w:r>
      <w:r w:rsidRPr="00980644">
        <w:t xml:space="preserve"> Hernando</w:t>
      </w:r>
      <w:r w:rsidR="00EA0358" w:rsidRPr="00980644">
        <w:t xml:space="preserve"> E,</w:t>
      </w:r>
      <w:r w:rsidRPr="00980644">
        <w:t xml:space="preserve"> </w:t>
      </w:r>
      <w:r w:rsidR="00061E1B" w:rsidRPr="00980644">
        <w:t>Manuel-Manresa</w:t>
      </w:r>
      <w:r w:rsidR="00EA0358" w:rsidRPr="00980644">
        <w:t xml:space="preserve"> P,</w:t>
      </w:r>
      <w:r w:rsidR="00061E1B" w:rsidRPr="00980644">
        <w:t xml:space="preserve"> Quesada</w:t>
      </w:r>
      <w:r w:rsidR="00EA0358" w:rsidRPr="00980644">
        <w:t xml:space="preserve"> R,</w:t>
      </w:r>
      <w:r w:rsidR="00061E1B" w:rsidRPr="00980644">
        <w:t xml:space="preserve"> Pérez-Tomás</w:t>
      </w:r>
      <w:r w:rsidR="00EA0358" w:rsidRPr="00980644">
        <w:t xml:space="preserve"> R,</w:t>
      </w:r>
      <w:r w:rsidR="00061E1B" w:rsidRPr="00980644">
        <w:t xml:space="preserve"> Soto-Cerrato</w:t>
      </w:r>
      <w:r w:rsidR="00EA0358" w:rsidRPr="00980644">
        <w:t xml:space="preserve"> V</w:t>
      </w:r>
      <w:r w:rsidR="00061E1B" w:rsidRPr="00980644">
        <w:t>.</w:t>
      </w:r>
      <w:r w:rsidRPr="00980644">
        <w:t xml:space="preserve"> </w:t>
      </w:r>
      <w:r w:rsidR="00EA0358" w:rsidRPr="00980644">
        <w:t xml:space="preserve">Synthetic tambjamine analogues induce mitochondrial swelling and lysosomal dysfunction leading to autophagy blockade and necrotic cell death in lung cancer. </w:t>
      </w:r>
      <w:proofErr w:type="spellStart"/>
      <w:r w:rsidR="00EA0358" w:rsidRPr="00980644">
        <w:t>Biochem</w:t>
      </w:r>
      <w:proofErr w:type="spellEnd"/>
      <w:r w:rsidR="00EA0358" w:rsidRPr="00980644">
        <w:t xml:space="preserve"> </w:t>
      </w:r>
      <w:proofErr w:type="spellStart"/>
      <w:r w:rsidR="00EA0358" w:rsidRPr="00980644">
        <w:t>Pharmacol</w:t>
      </w:r>
      <w:proofErr w:type="spellEnd"/>
      <w:r w:rsidR="00EA0358" w:rsidRPr="00980644">
        <w:t xml:space="preserve">. </w:t>
      </w:r>
      <w:r w:rsidR="00EA0358" w:rsidRPr="00980644">
        <w:rPr>
          <w:b/>
          <w:bCs/>
        </w:rPr>
        <w:t>2017</w:t>
      </w:r>
      <w:r w:rsidR="00EA0358" w:rsidRPr="00980644">
        <w:t xml:space="preserve">;126:23–33. </w:t>
      </w:r>
      <w:r w:rsidR="00195AF2" w:rsidRPr="00980644">
        <w:t>DOI: 10.1016/j.bcp.2016.11.022.</w:t>
      </w:r>
    </w:p>
    <w:p w14:paraId="612C7698" w14:textId="7A741B2D" w:rsidR="00952A45" w:rsidRPr="00980644" w:rsidRDefault="00952A45" w:rsidP="004D16CA">
      <w:pPr>
        <w:pStyle w:val="References"/>
        <w:jc w:val="both"/>
      </w:pPr>
      <w:r w:rsidRPr="00980644">
        <w:t xml:space="preserve">[12] </w:t>
      </w:r>
      <w:r w:rsidR="00B90636" w:rsidRPr="00980644">
        <w:tab/>
      </w:r>
      <w:r w:rsidRPr="00980644">
        <w:t>Park</w:t>
      </w:r>
      <w:r w:rsidR="00EA0358" w:rsidRPr="00980644">
        <w:t xml:space="preserve"> S-H,</w:t>
      </w:r>
      <w:r w:rsidRPr="00980644">
        <w:t xml:space="preserve"> Park</w:t>
      </w:r>
      <w:r w:rsidR="00EA0358" w:rsidRPr="00980644">
        <w:t xml:space="preserve"> S-H,</w:t>
      </w:r>
      <w:r w:rsidRPr="00980644">
        <w:t xml:space="preserve"> Howe</w:t>
      </w:r>
      <w:r w:rsidR="00EA0358" w:rsidRPr="00980644">
        <w:t xml:space="preserve"> ENW,</w:t>
      </w:r>
      <w:r w:rsidRPr="00980644">
        <w:t xml:space="preserve"> </w:t>
      </w:r>
      <w:r w:rsidR="00061E1B" w:rsidRPr="00980644">
        <w:t>Hyun</w:t>
      </w:r>
      <w:r w:rsidR="00EA0358" w:rsidRPr="00980644">
        <w:t xml:space="preserve"> JL,</w:t>
      </w:r>
      <w:r w:rsidR="00061E1B" w:rsidRPr="00980644">
        <w:t xml:space="preserve"> Chen</w:t>
      </w:r>
      <w:r w:rsidR="00EA0358" w:rsidRPr="00980644">
        <w:t xml:space="preserve"> L-J,</w:t>
      </w:r>
      <w:r w:rsidR="00061E1B" w:rsidRPr="00980644">
        <w:t xml:space="preserve"> Hwang</w:t>
      </w:r>
      <w:r w:rsidR="00EA0358" w:rsidRPr="00980644">
        <w:t xml:space="preserve"> I,</w:t>
      </w:r>
      <w:r w:rsidR="00061E1B" w:rsidRPr="00980644">
        <w:t xml:space="preserve"> Vargas-</w:t>
      </w:r>
      <w:proofErr w:type="spellStart"/>
      <w:r w:rsidR="00061E1B" w:rsidRPr="00980644">
        <w:t>Zuñiga</w:t>
      </w:r>
      <w:proofErr w:type="spellEnd"/>
      <w:r w:rsidR="00061E1B" w:rsidRPr="00980644">
        <w:t xml:space="preserve">, </w:t>
      </w:r>
      <w:r w:rsidR="00EA0358" w:rsidRPr="00980644">
        <w:t>G,</w:t>
      </w:r>
      <w:r w:rsidR="00061E1B" w:rsidRPr="00980644">
        <w:t xml:space="preserve"> </w:t>
      </w:r>
      <w:proofErr w:type="spellStart"/>
      <w:r w:rsidR="00061E1B" w:rsidRPr="00980644">
        <w:t>Busschaert</w:t>
      </w:r>
      <w:proofErr w:type="spellEnd"/>
      <w:r w:rsidR="00EA0358" w:rsidRPr="00980644">
        <w:t xml:space="preserve"> N,</w:t>
      </w:r>
      <w:r w:rsidR="00061E1B" w:rsidRPr="00980644">
        <w:t xml:space="preserve"> Gale</w:t>
      </w:r>
      <w:r w:rsidR="00EA0358" w:rsidRPr="00980644">
        <w:t xml:space="preserve"> PA,</w:t>
      </w:r>
      <w:r w:rsidR="00061E1B" w:rsidRPr="00980644">
        <w:t xml:space="preserve"> Sessler</w:t>
      </w:r>
      <w:r w:rsidR="00EA0358" w:rsidRPr="00980644">
        <w:t xml:space="preserve"> JL,</w:t>
      </w:r>
      <w:r w:rsidR="00061E1B" w:rsidRPr="00980644">
        <w:t xml:space="preserve"> Shin</w:t>
      </w:r>
      <w:r w:rsidR="00EA0358" w:rsidRPr="00980644">
        <w:t xml:space="preserve"> I</w:t>
      </w:r>
      <w:r w:rsidR="00061E1B" w:rsidRPr="00980644">
        <w:t xml:space="preserve">. </w:t>
      </w:r>
      <w:r w:rsidR="00EA0358" w:rsidRPr="00980644">
        <w:t xml:space="preserve">Determinants of Ion-Transporter Cancer Cell Death. Chem. </w:t>
      </w:r>
      <w:r w:rsidR="00EA0358" w:rsidRPr="00980644">
        <w:rPr>
          <w:b/>
          <w:bCs/>
        </w:rPr>
        <w:t>2019</w:t>
      </w:r>
      <w:r w:rsidR="00EA0358" w:rsidRPr="00980644">
        <w:t xml:space="preserve">;5: 2079−2098. </w:t>
      </w:r>
      <w:r w:rsidR="00061E1B" w:rsidRPr="00980644">
        <w:t>DOI: 10.1016/j.chempr.2019.05.001.</w:t>
      </w:r>
    </w:p>
    <w:p w14:paraId="6A68CE8F" w14:textId="706E6035" w:rsidR="00952A45" w:rsidRPr="00980644" w:rsidRDefault="00952A45" w:rsidP="004D16CA">
      <w:pPr>
        <w:pStyle w:val="References"/>
        <w:jc w:val="both"/>
      </w:pPr>
      <w:r w:rsidRPr="00980644">
        <w:t xml:space="preserve">[13] </w:t>
      </w:r>
      <w:r w:rsidR="00B90636" w:rsidRPr="00980644">
        <w:tab/>
      </w:r>
      <w:proofErr w:type="spellStart"/>
      <w:r w:rsidRPr="00980644">
        <w:t>Carreira-Barral</w:t>
      </w:r>
      <w:proofErr w:type="spellEnd"/>
      <w:r w:rsidR="00EA0358" w:rsidRPr="00980644">
        <w:t xml:space="preserve"> I,</w:t>
      </w:r>
      <w:r w:rsidRPr="00980644">
        <w:t xml:space="preserve"> </w:t>
      </w:r>
      <w:proofErr w:type="spellStart"/>
      <w:r w:rsidRPr="00980644">
        <w:t>Rumbo</w:t>
      </w:r>
      <w:proofErr w:type="spellEnd"/>
      <w:r w:rsidR="00EA0358" w:rsidRPr="00980644">
        <w:t xml:space="preserve"> C,</w:t>
      </w:r>
      <w:r w:rsidRPr="00980644">
        <w:t xml:space="preserve"> </w:t>
      </w:r>
      <w:proofErr w:type="spellStart"/>
      <w:r w:rsidRPr="00980644">
        <w:t>Mielczarek</w:t>
      </w:r>
      <w:proofErr w:type="spellEnd"/>
      <w:r w:rsidR="00EA0358" w:rsidRPr="00980644">
        <w:t xml:space="preserve"> M,</w:t>
      </w:r>
      <w:r w:rsidRPr="00980644">
        <w:t xml:space="preserve"> </w:t>
      </w:r>
      <w:r w:rsidR="0086693E" w:rsidRPr="00980644">
        <w:t>Alonso-Carrillo</w:t>
      </w:r>
      <w:r w:rsidR="00EA0358" w:rsidRPr="00980644">
        <w:t xml:space="preserve"> D,</w:t>
      </w:r>
      <w:r w:rsidR="0086693E" w:rsidRPr="00980644">
        <w:t xml:space="preserve"> </w:t>
      </w:r>
      <w:proofErr w:type="spellStart"/>
      <w:r w:rsidR="0086693E" w:rsidRPr="00980644">
        <w:t>Herran</w:t>
      </w:r>
      <w:proofErr w:type="spellEnd"/>
      <w:r w:rsidR="00EA0358" w:rsidRPr="00980644">
        <w:t xml:space="preserve"> E,</w:t>
      </w:r>
      <w:r w:rsidR="0086693E" w:rsidRPr="00980644">
        <w:t xml:space="preserve"> Pastor</w:t>
      </w:r>
      <w:r w:rsidR="00EA0358" w:rsidRPr="00980644">
        <w:t xml:space="preserve"> M,</w:t>
      </w:r>
      <w:r w:rsidR="0086693E" w:rsidRPr="00980644">
        <w:t xml:space="preserve"> Del </w:t>
      </w:r>
      <w:proofErr w:type="spellStart"/>
      <w:r w:rsidR="0086693E" w:rsidRPr="00980644">
        <w:t>Pozo</w:t>
      </w:r>
      <w:proofErr w:type="spellEnd"/>
      <w:r w:rsidR="00EA0358" w:rsidRPr="00980644">
        <w:t xml:space="preserve"> A,</w:t>
      </w:r>
      <w:r w:rsidR="0086693E" w:rsidRPr="00980644">
        <w:t xml:space="preserve"> García-Valverde</w:t>
      </w:r>
      <w:r w:rsidR="00EA0358" w:rsidRPr="00980644">
        <w:t xml:space="preserve"> M,</w:t>
      </w:r>
      <w:r w:rsidR="0086693E" w:rsidRPr="00980644">
        <w:t xml:space="preserve"> Quesada R. </w:t>
      </w:r>
      <w:r w:rsidR="00E9134F" w:rsidRPr="00980644">
        <w:t xml:space="preserve">Small molecule anion transporters display in vitro antimicrobial activity against clinically relevant bacterial strains. Chem </w:t>
      </w:r>
      <w:proofErr w:type="spellStart"/>
      <w:r w:rsidR="00E9134F" w:rsidRPr="00980644">
        <w:t>Commun</w:t>
      </w:r>
      <w:proofErr w:type="spellEnd"/>
      <w:r w:rsidR="00E9134F" w:rsidRPr="00980644">
        <w:t xml:space="preserve">. </w:t>
      </w:r>
      <w:r w:rsidR="00E9134F" w:rsidRPr="00980644">
        <w:rPr>
          <w:b/>
          <w:bCs/>
        </w:rPr>
        <w:t>2019</w:t>
      </w:r>
      <w:r w:rsidR="00E9134F" w:rsidRPr="00980644">
        <w:t>;55:10080−10083</w:t>
      </w:r>
      <w:r w:rsidRPr="00980644">
        <w:t>.</w:t>
      </w:r>
      <w:r w:rsidR="0086693E" w:rsidRPr="00980644">
        <w:t xml:space="preserve"> DOI: 10.1039/C9CC04304G.</w:t>
      </w:r>
    </w:p>
    <w:p w14:paraId="3805159A" w14:textId="24F84D7B" w:rsidR="00952A45" w:rsidRPr="00980644" w:rsidRDefault="00952A45" w:rsidP="004D16CA">
      <w:pPr>
        <w:pStyle w:val="References"/>
        <w:jc w:val="both"/>
      </w:pPr>
      <w:r w:rsidRPr="00980644">
        <w:t xml:space="preserve"> [14] </w:t>
      </w:r>
      <w:r w:rsidR="00B90636" w:rsidRPr="00980644">
        <w:tab/>
      </w:r>
      <w:proofErr w:type="spellStart"/>
      <w:r w:rsidRPr="00980644">
        <w:t>Cossu</w:t>
      </w:r>
      <w:proofErr w:type="spellEnd"/>
      <w:r w:rsidR="00E9134F" w:rsidRPr="00980644">
        <w:t xml:space="preserve"> C,</w:t>
      </w:r>
      <w:r w:rsidRPr="00980644">
        <w:t xml:space="preserve"> Fiore</w:t>
      </w:r>
      <w:r w:rsidR="00E9134F" w:rsidRPr="00980644">
        <w:t xml:space="preserve"> M,</w:t>
      </w:r>
      <w:r w:rsidRPr="00980644">
        <w:t xml:space="preserve"> </w:t>
      </w:r>
      <w:proofErr w:type="spellStart"/>
      <w:r w:rsidRPr="00980644">
        <w:t>Baroni</w:t>
      </w:r>
      <w:proofErr w:type="spellEnd"/>
      <w:r w:rsidR="00E9134F" w:rsidRPr="00980644">
        <w:t xml:space="preserve"> D,</w:t>
      </w:r>
      <w:r w:rsidRPr="00980644">
        <w:t xml:space="preserve"> </w:t>
      </w:r>
      <w:proofErr w:type="spellStart"/>
      <w:r w:rsidR="001977DF" w:rsidRPr="00980644">
        <w:t>Capurro</w:t>
      </w:r>
      <w:proofErr w:type="spellEnd"/>
      <w:r w:rsidR="00E9134F" w:rsidRPr="00980644">
        <w:t xml:space="preserve"> V,</w:t>
      </w:r>
      <w:r w:rsidR="001977DF" w:rsidRPr="00980644">
        <w:t xml:space="preserve"> </w:t>
      </w:r>
      <w:proofErr w:type="spellStart"/>
      <w:r w:rsidR="001977DF" w:rsidRPr="00980644">
        <w:t>Caci</w:t>
      </w:r>
      <w:proofErr w:type="spellEnd"/>
      <w:r w:rsidR="00E9134F" w:rsidRPr="00980644">
        <w:t xml:space="preserve"> E,</w:t>
      </w:r>
      <w:r w:rsidR="001977DF" w:rsidRPr="00980644">
        <w:t xml:space="preserve"> García-Valverde</w:t>
      </w:r>
      <w:r w:rsidR="00E9134F" w:rsidRPr="00980644">
        <w:t xml:space="preserve"> M,</w:t>
      </w:r>
      <w:r w:rsidR="001977DF" w:rsidRPr="00980644">
        <w:t xml:space="preserve"> Quesada</w:t>
      </w:r>
      <w:r w:rsidR="00E9134F" w:rsidRPr="00980644">
        <w:t xml:space="preserve"> R,</w:t>
      </w:r>
      <w:r w:rsidR="001977DF" w:rsidRPr="00980644">
        <w:t xml:space="preserve"> Moran</w:t>
      </w:r>
      <w:r w:rsidR="00E9134F" w:rsidRPr="00980644">
        <w:t xml:space="preserve"> O</w:t>
      </w:r>
      <w:r w:rsidR="001977DF" w:rsidRPr="00980644">
        <w:t>.</w:t>
      </w:r>
      <w:r w:rsidRPr="00980644">
        <w:t xml:space="preserve"> </w:t>
      </w:r>
      <w:r w:rsidR="00E9134F" w:rsidRPr="00980644">
        <w:t xml:space="preserve">Anion-transport mechanism of a triazole-bearing derivative of </w:t>
      </w:r>
      <w:proofErr w:type="spellStart"/>
      <w:r w:rsidR="00E9134F" w:rsidRPr="00980644">
        <w:t>prodigiosine</w:t>
      </w:r>
      <w:proofErr w:type="spellEnd"/>
      <w:r w:rsidR="00E9134F" w:rsidRPr="00980644">
        <w:t xml:space="preserve">: A candidate for cystic fibrosis therapy. Front </w:t>
      </w:r>
      <w:proofErr w:type="spellStart"/>
      <w:r w:rsidR="00E9134F" w:rsidRPr="00980644">
        <w:t>Pharmacol</w:t>
      </w:r>
      <w:proofErr w:type="spellEnd"/>
      <w:r w:rsidR="00E9134F" w:rsidRPr="00980644">
        <w:t xml:space="preserve">. </w:t>
      </w:r>
      <w:r w:rsidR="00E9134F" w:rsidRPr="00980644">
        <w:rPr>
          <w:b/>
          <w:bCs/>
        </w:rPr>
        <w:t>2018</w:t>
      </w:r>
      <w:r w:rsidR="00E9134F" w:rsidRPr="00980644">
        <w:t>;9:852−865</w:t>
      </w:r>
      <w:r w:rsidR="007272F3" w:rsidRPr="00980644">
        <w:t>. DOI: 10.3389/fphar.2018.00852.</w:t>
      </w:r>
    </w:p>
    <w:p w14:paraId="33912A71" w14:textId="0D7B6226" w:rsidR="00952A45" w:rsidRPr="00980644" w:rsidRDefault="00952A45" w:rsidP="004D16CA">
      <w:pPr>
        <w:pStyle w:val="References"/>
        <w:jc w:val="both"/>
      </w:pPr>
      <w:r w:rsidRPr="00980644">
        <w:t xml:space="preserve">[15] </w:t>
      </w:r>
      <w:r w:rsidR="00B90636" w:rsidRPr="00980644">
        <w:tab/>
      </w:r>
      <w:r w:rsidRPr="00980644">
        <w:t>Li</w:t>
      </w:r>
      <w:r w:rsidR="00E9134F" w:rsidRPr="00980644">
        <w:t xml:space="preserve"> H,</w:t>
      </w:r>
      <w:r w:rsidRPr="00980644">
        <w:t xml:space="preserve"> </w:t>
      </w:r>
      <w:proofErr w:type="spellStart"/>
      <w:r w:rsidRPr="00980644">
        <w:t>Valkenier</w:t>
      </w:r>
      <w:proofErr w:type="spellEnd"/>
      <w:r w:rsidR="00E9134F" w:rsidRPr="00980644">
        <w:t xml:space="preserve"> H,</w:t>
      </w:r>
      <w:r w:rsidRPr="00980644">
        <w:t xml:space="preserve"> Thorne</w:t>
      </w:r>
      <w:r w:rsidR="00E9134F" w:rsidRPr="00980644">
        <w:t xml:space="preserve"> AG,</w:t>
      </w:r>
      <w:r w:rsidR="007272F3" w:rsidRPr="00980644">
        <w:t xml:space="preserve"> Dias</w:t>
      </w:r>
      <w:r w:rsidR="00E9134F" w:rsidRPr="00980644">
        <w:t xml:space="preserve"> CM,</w:t>
      </w:r>
      <w:r w:rsidR="007272F3" w:rsidRPr="00980644">
        <w:t xml:space="preserve"> Cooper</w:t>
      </w:r>
      <w:r w:rsidR="00E9134F" w:rsidRPr="00980644">
        <w:t xml:space="preserve"> JA,</w:t>
      </w:r>
      <w:r w:rsidR="007272F3" w:rsidRPr="00980644">
        <w:t xml:space="preserve"> Kieffer</w:t>
      </w:r>
      <w:r w:rsidR="00E9134F" w:rsidRPr="00980644">
        <w:t xml:space="preserve"> M,</w:t>
      </w:r>
      <w:r w:rsidR="007272F3" w:rsidRPr="00980644">
        <w:t xml:space="preserve"> Busschaert</w:t>
      </w:r>
      <w:r w:rsidR="00E9134F" w:rsidRPr="00980644">
        <w:t xml:space="preserve"> N,</w:t>
      </w:r>
      <w:r w:rsidR="007272F3" w:rsidRPr="00980644">
        <w:t xml:space="preserve"> Gale</w:t>
      </w:r>
      <w:r w:rsidR="00E9134F" w:rsidRPr="00980644">
        <w:t xml:space="preserve"> PA,</w:t>
      </w:r>
      <w:r w:rsidR="007272F3" w:rsidRPr="00980644">
        <w:t xml:space="preserve"> Sheppard</w:t>
      </w:r>
      <w:r w:rsidR="00E9134F" w:rsidRPr="00980644">
        <w:t xml:space="preserve"> DN,</w:t>
      </w:r>
      <w:r w:rsidR="007272F3" w:rsidRPr="00980644">
        <w:t xml:space="preserve"> Davis</w:t>
      </w:r>
      <w:r w:rsidR="00E9134F" w:rsidRPr="00980644">
        <w:t xml:space="preserve"> AP</w:t>
      </w:r>
      <w:r w:rsidR="007272F3" w:rsidRPr="00980644">
        <w:t>.</w:t>
      </w:r>
      <w:r w:rsidRPr="00980644">
        <w:t xml:space="preserve"> </w:t>
      </w:r>
      <w:r w:rsidR="00E9134F" w:rsidRPr="00980644">
        <w:t xml:space="preserve">Anion carriers as potential treatments for cystic fibrosis: transport in cystic fibrosis cells, and additivity to channel-targeting drugs. Chem Sci. </w:t>
      </w:r>
      <w:r w:rsidR="00E9134F" w:rsidRPr="00980644">
        <w:rPr>
          <w:b/>
          <w:bCs/>
        </w:rPr>
        <w:t>2019</w:t>
      </w:r>
      <w:r w:rsidR="00E9134F" w:rsidRPr="00980644">
        <w:t>;10(42):9663−9672</w:t>
      </w:r>
      <w:r w:rsidRPr="00980644">
        <w:t>.</w:t>
      </w:r>
      <w:r w:rsidR="007272F3" w:rsidRPr="00980644">
        <w:t xml:space="preserve"> DOI: 10.1039/C9SC04242C.</w:t>
      </w:r>
    </w:p>
    <w:p w14:paraId="6044F7A5" w14:textId="6AEE9751" w:rsidR="00952A45" w:rsidRPr="00980644" w:rsidRDefault="00952A45" w:rsidP="00E9134F">
      <w:pPr>
        <w:pStyle w:val="References"/>
        <w:jc w:val="both"/>
      </w:pPr>
      <w:r w:rsidRPr="00980644">
        <w:t xml:space="preserve">[16] </w:t>
      </w:r>
      <w:r w:rsidR="00B90636" w:rsidRPr="00980644">
        <w:tab/>
      </w:r>
      <w:proofErr w:type="spellStart"/>
      <w:r w:rsidRPr="00980644">
        <w:t>Gianotti</w:t>
      </w:r>
      <w:proofErr w:type="spellEnd"/>
      <w:r w:rsidR="00E9134F" w:rsidRPr="00980644">
        <w:t xml:space="preserve"> A</w:t>
      </w:r>
      <w:r w:rsidR="002D7941" w:rsidRPr="00980644">
        <w:t>.;</w:t>
      </w:r>
      <w:r w:rsidRPr="00980644">
        <w:t xml:space="preserve"> </w:t>
      </w:r>
      <w:proofErr w:type="spellStart"/>
      <w:r w:rsidRPr="00980644">
        <w:t>Capurro</w:t>
      </w:r>
      <w:proofErr w:type="spellEnd"/>
      <w:r w:rsidR="00E9134F" w:rsidRPr="00980644">
        <w:t xml:space="preserve"> V,</w:t>
      </w:r>
      <w:r w:rsidRPr="00980644">
        <w:t xml:space="preserve"> </w:t>
      </w:r>
      <w:proofErr w:type="spellStart"/>
      <w:r w:rsidRPr="00980644">
        <w:t>Delpiano</w:t>
      </w:r>
      <w:proofErr w:type="spellEnd"/>
      <w:r w:rsidR="00E9134F" w:rsidRPr="00980644">
        <w:t xml:space="preserve"> L,</w:t>
      </w:r>
      <w:r w:rsidR="002D7941" w:rsidRPr="00980644">
        <w:t xml:space="preserve"> </w:t>
      </w:r>
      <w:proofErr w:type="spellStart"/>
      <w:r w:rsidR="002D7941" w:rsidRPr="00980644">
        <w:t>Mielczarek</w:t>
      </w:r>
      <w:proofErr w:type="spellEnd"/>
      <w:r w:rsidR="00E9134F" w:rsidRPr="00980644">
        <w:t xml:space="preserve"> M,</w:t>
      </w:r>
      <w:r w:rsidR="002D7941" w:rsidRPr="00980644">
        <w:t xml:space="preserve"> García-Valverde</w:t>
      </w:r>
      <w:r w:rsidR="00E9134F" w:rsidRPr="00980644">
        <w:t xml:space="preserve"> M,</w:t>
      </w:r>
      <w:r w:rsidR="002D7941" w:rsidRPr="00980644">
        <w:t xml:space="preserve"> Carreira-Barral</w:t>
      </w:r>
      <w:r w:rsidR="00E9134F" w:rsidRPr="00980644">
        <w:t xml:space="preserve"> I,</w:t>
      </w:r>
      <w:r w:rsidR="002D7941" w:rsidRPr="00980644">
        <w:t xml:space="preserve"> Ludovico</w:t>
      </w:r>
      <w:r w:rsidR="00E9134F" w:rsidRPr="00980644">
        <w:t xml:space="preserve"> A,</w:t>
      </w:r>
      <w:r w:rsidR="002D7941" w:rsidRPr="00980644">
        <w:t xml:space="preserve"> Fiore</w:t>
      </w:r>
      <w:r w:rsidR="00E9134F" w:rsidRPr="00980644">
        <w:t xml:space="preserve"> M,</w:t>
      </w:r>
      <w:r w:rsidR="002D7941" w:rsidRPr="00980644">
        <w:t xml:space="preserve"> </w:t>
      </w:r>
      <w:proofErr w:type="spellStart"/>
      <w:r w:rsidR="002D7941" w:rsidRPr="00980644">
        <w:t>Baroni</w:t>
      </w:r>
      <w:proofErr w:type="spellEnd"/>
      <w:r w:rsidR="00E9134F" w:rsidRPr="00980644">
        <w:t xml:space="preserve"> D,</w:t>
      </w:r>
      <w:r w:rsidR="002D7941" w:rsidRPr="00980644">
        <w:t xml:space="preserve"> Moran</w:t>
      </w:r>
      <w:r w:rsidR="00E9134F" w:rsidRPr="00980644">
        <w:t xml:space="preserve"> O,</w:t>
      </w:r>
      <w:r w:rsidR="002D7941" w:rsidRPr="00980644">
        <w:t xml:space="preserve"> Quesada</w:t>
      </w:r>
      <w:r w:rsidR="00E9134F" w:rsidRPr="00980644">
        <w:t xml:space="preserve"> R,</w:t>
      </w:r>
      <w:r w:rsidR="002D7941" w:rsidRPr="00980644">
        <w:t xml:space="preserve"> </w:t>
      </w:r>
      <w:proofErr w:type="spellStart"/>
      <w:r w:rsidR="002D7941" w:rsidRPr="00980644">
        <w:t>Caci</w:t>
      </w:r>
      <w:proofErr w:type="spellEnd"/>
      <w:r w:rsidR="00E9134F" w:rsidRPr="00980644">
        <w:t xml:space="preserve"> E</w:t>
      </w:r>
      <w:r w:rsidR="002D7941" w:rsidRPr="00980644">
        <w:t>.</w:t>
      </w:r>
      <w:r w:rsidRPr="00980644">
        <w:t xml:space="preserve"> </w:t>
      </w:r>
      <w:r w:rsidR="00E9134F" w:rsidRPr="00980644">
        <w:t xml:space="preserve">Small Molecule Anion Carriers Correct Abnormal Airway Surface Liquid Properties in Cystic Fibrosis Airway Epithelia. Int J Mol Sci. </w:t>
      </w:r>
      <w:r w:rsidR="00E9134F" w:rsidRPr="00980644">
        <w:rPr>
          <w:b/>
          <w:bCs/>
        </w:rPr>
        <w:t>2020</w:t>
      </w:r>
      <w:r w:rsidR="00E9134F" w:rsidRPr="00980644">
        <w:t xml:space="preserve">;21:1488−1502. </w:t>
      </w:r>
      <w:r w:rsidR="002D7941" w:rsidRPr="00980644">
        <w:t>DOI: 10.3390/ijms21041488.</w:t>
      </w:r>
    </w:p>
    <w:p w14:paraId="71818564" w14:textId="71AF2B4A" w:rsidR="00952A45" w:rsidRPr="00980644" w:rsidRDefault="00952A45" w:rsidP="004D16CA">
      <w:pPr>
        <w:pStyle w:val="References"/>
        <w:jc w:val="both"/>
      </w:pPr>
      <w:r w:rsidRPr="00980644">
        <w:t xml:space="preserve"> [17] </w:t>
      </w:r>
      <w:r w:rsidR="00B90636" w:rsidRPr="00980644">
        <w:tab/>
      </w:r>
      <w:proofErr w:type="spellStart"/>
      <w:r w:rsidR="00E9134F" w:rsidRPr="00980644">
        <w:t>Fürstner</w:t>
      </w:r>
      <w:proofErr w:type="spellEnd"/>
      <w:r w:rsidR="00E9134F" w:rsidRPr="00980644">
        <w:t xml:space="preserve"> A. Chemistry and Biology of </w:t>
      </w:r>
      <w:proofErr w:type="spellStart"/>
      <w:r w:rsidR="00E9134F" w:rsidRPr="00980644">
        <w:t>Roseophilin</w:t>
      </w:r>
      <w:proofErr w:type="spellEnd"/>
      <w:r w:rsidR="00E9134F" w:rsidRPr="00980644">
        <w:t xml:space="preserve"> and the </w:t>
      </w:r>
      <w:proofErr w:type="spellStart"/>
      <w:r w:rsidR="00E9134F" w:rsidRPr="00980644">
        <w:t>Prodigiosin</w:t>
      </w:r>
      <w:proofErr w:type="spellEnd"/>
      <w:r w:rsidR="00E9134F" w:rsidRPr="00980644">
        <w:t xml:space="preserve"> Alkaloids: A Survey of the Last 2500 Years. </w:t>
      </w:r>
      <w:proofErr w:type="spellStart"/>
      <w:r w:rsidR="00E9134F" w:rsidRPr="00980644">
        <w:t>Angew</w:t>
      </w:r>
      <w:proofErr w:type="spellEnd"/>
      <w:r w:rsidR="00E9134F" w:rsidRPr="00980644">
        <w:t xml:space="preserve"> Chem Int Ed. </w:t>
      </w:r>
      <w:r w:rsidR="00E9134F" w:rsidRPr="00980644">
        <w:rPr>
          <w:b/>
          <w:bCs/>
        </w:rPr>
        <w:t>2003</w:t>
      </w:r>
      <w:r w:rsidR="00E9134F" w:rsidRPr="00980644">
        <w:t>;42:3582−3603</w:t>
      </w:r>
      <w:r w:rsidRPr="00980644">
        <w:t>.</w:t>
      </w:r>
      <w:r w:rsidR="005F3C5A" w:rsidRPr="00980644">
        <w:t xml:space="preserve"> DOI: 10.1002/anie.200300582.</w:t>
      </w:r>
    </w:p>
    <w:p w14:paraId="485D1AE7" w14:textId="24BD4448" w:rsidR="00952A45" w:rsidRPr="00980644" w:rsidRDefault="00952A45" w:rsidP="005F3C5A">
      <w:pPr>
        <w:pStyle w:val="References"/>
        <w:jc w:val="both"/>
      </w:pPr>
      <w:r w:rsidRPr="00980644">
        <w:t xml:space="preserve">[18] </w:t>
      </w:r>
      <w:r w:rsidR="00B90636" w:rsidRPr="00980644">
        <w:tab/>
      </w:r>
      <w:r w:rsidR="00E9134F" w:rsidRPr="00980644">
        <w:t xml:space="preserve">Pinkerton DM, </w:t>
      </w:r>
      <w:proofErr w:type="spellStart"/>
      <w:r w:rsidR="00E9134F" w:rsidRPr="00980644">
        <w:t>Banwell</w:t>
      </w:r>
      <w:proofErr w:type="spellEnd"/>
      <w:r w:rsidR="00E9134F" w:rsidRPr="00980644">
        <w:t xml:space="preserve"> MG, Willis AC. Total Syntheses of Tambjamines C, E, F, G, H, I and J, BE-18591, and a Related Alkaloid from the Marine Bacterium </w:t>
      </w:r>
      <w:proofErr w:type="spellStart"/>
      <w:r w:rsidR="00E9134F" w:rsidRPr="00980644">
        <w:t>Pseudoalteromonas</w:t>
      </w:r>
      <w:proofErr w:type="spellEnd"/>
      <w:r w:rsidR="00E9134F" w:rsidRPr="00980644">
        <w:t xml:space="preserve"> tunicate. Org Lett. </w:t>
      </w:r>
      <w:r w:rsidR="00E9134F" w:rsidRPr="00980644">
        <w:rPr>
          <w:b/>
          <w:bCs/>
        </w:rPr>
        <w:t>2007</w:t>
      </w:r>
      <w:r w:rsidR="00E9134F" w:rsidRPr="00980644">
        <w:t>;9:5127−5130</w:t>
      </w:r>
      <w:r w:rsidRPr="00980644">
        <w:t>.</w:t>
      </w:r>
      <w:r w:rsidR="005F3C5A" w:rsidRPr="00980644">
        <w:t xml:space="preserve"> DOI: 10.1021/ol7024313.</w:t>
      </w:r>
    </w:p>
    <w:p w14:paraId="36DDFAFE" w14:textId="4DEBD63B" w:rsidR="00952A45" w:rsidRPr="00980644" w:rsidRDefault="00952A45" w:rsidP="004D16CA">
      <w:pPr>
        <w:pStyle w:val="References"/>
        <w:jc w:val="both"/>
      </w:pPr>
      <w:r w:rsidRPr="00980644">
        <w:lastRenderedPageBreak/>
        <w:t xml:space="preserve">[19] </w:t>
      </w:r>
      <w:r w:rsidR="00B90636" w:rsidRPr="00980644">
        <w:tab/>
      </w:r>
      <w:r w:rsidRPr="00980644">
        <w:t>Sakai-Kawada</w:t>
      </w:r>
      <w:r w:rsidR="00E9134F" w:rsidRPr="00980644">
        <w:t xml:space="preserve"> FE,</w:t>
      </w:r>
      <w:r w:rsidRPr="00980644">
        <w:t xml:space="preserve"> Ip</w:t>
      </w:r>
      <w:r w:rsidR="00E9134F" w:rsidRPr="00980644">
        <w:t xml:space="preserve"> CG,</w:t>
      </w:r>
      <w:r w:rsidRPr="00980644">
        <w:t xml:space="preserve"> Hagiwara</w:t>
      </w:r>
      <w:r w:rsidR="00E9134F" w:rsidRPr="00980644">
        <w:t xml:space="preserve"> KA,</w:t>
      </w:r>
      <w:r w:rsidRPr="00980644">
        <w:t xml:space="preserve"> </w:t>
      </w:r>
      <w:proofErr w:type="spellStart"/>
      <w:r w:rsidR="00C0720E" w:rsidRPr="00980644">
        <w:t>Awaya</w:t>
      </w:r>
      <w:proofErr w:type="spellEnd"/>
      <w:r w:rsidR="00E9134F" w:rsidRPr="00980644">
        <w:t xml:space="preserve"> JD.</w:t>
      </w:r>
      <w:r w:rsidRPr="00980644">
        <w:t xml:space="preserve"> </w:t>
      </w:r>
      <w:r w:rsidR="00E9134F" w:rsidRPr="00980644">
        <w:t xml:space="preserve">Biosynthesis and Bioactivity of Prodiginine </w:t>
      </w:r>
      <w:proofErr w:type="spellStart"/>
      <w:r w:rsidR="00E9134F" w:rsidRPr="00980644">
        <w:t>Analogs</w:t>
      </w:r>
      <w:proofErr w:type="spellEnd"/>
      <w:r w:rsidR="00E9134F" w:rsidRPr="00980644">
        <w:t xml:space="preserve"> in Marine Bacteria, </w:t>
      </w:r>
      <w:proofErr w:type="spellStart"/>
      <w:r w:rsidR="00E9134F" w:rsidRPr="00980644">
        <w:t>Pseudoalteromonas</w:t>
      </w:r>
      <w:proofErr w:type="spellEnd"/>
      <w:r w:rsidR="00E9134F" w:rsidRPr="00980644">
        <w:t xml:space="preserve">: A Mini Review. Front </w:t>
      </w:r>
      <w:proofErr w:type="spellStart"/>
      <w:r w:rsidR="00E9134F" w:rsidRPr="00980644">
        <w:t>Microbiol</w:t>
      </w:r>
      <w:proofErr w:type="spellEnd"/>
      <w:r w:rsidR="00E9134F" w:rsidRPr="00980644">
        <w:t xml:space="preserve">. </w:t>
      </w:r>
      <w:r w:rsidR="00E9134F" w:rsidRPr="00980644">
        <w:rPr>
          <w:b/>
          <w:bCs/>
        </w:rPr>
        <w:t>2019</w:t>
      </w:r>
      <w:r w:rsidR="00E9134F" w:rsidRPr="00980644">
        <w:t>;10:1715−1723.</w:t>
      </w:r>
      <w:r w:rsidR="00C0720E" w:rsidRPr="00980644">
        <w:t xml:space="preserve"> DOI: 10.3389/fmicb.2019.01715.</w:t>
      </w:r>
    </w:p>
    <w:p w14:paraId="00986B1B" w14:textId="7423FE27" w:rsidR="00952A45" w:rsidRPr="00980644" w:rsidRDefault="00952A45" w:rsidP="004D16CA">
      <w:pPr>
        <w:pStyle w:val="References"/>
        <w:jc w:val="both"/>
      </w:pPr>
      <w:r w:rsidRPr="00980644">
        <w:t xml:space="preserve">[20] </w:t>
      </w:r>
      <w:r w:rsidR="00B90636" w:rsidRPr="00980644">
        <w:tab/>
      </w:r>
      <w:r w:rsidRPr="00980644">
        <w:t>Hayakawa</w:t>
      </w:r>
      <w:r w:rsidR="00E9134F" w:rsidRPr="00980644">
        <w:t xml:space="preserve"> Y,</w:t>
      </w:r>
      <w:r w:rsidRPr="00980644">
        <w:t xml:space="preserve"> Kawakami</w:t>
      </w:r>
      <w:r w:rsidR="00E9134F" w:rsidRPr="00980644">
        <w:t xml:space="preserve"> K,</w:t>
      </w:r>
      <w:r w:rsidRPr="00980644">
        <w:t xml:space="preserve"> </w:t>
      </w:r>
      <w:proofErr w:type="spellStart"/>
      <w:r w:rsidRPr="00980644">
        <w:t>Seto</w:t>
      </w:r>
      <w:proofErr w:type="spellEnd"/>
      <w:r w:rsidR="00E9134F" w:rsidRPr="00980644">
        <w:t xml:space="preserve"> H,</w:t>
      </w:r>
      <w:r w:rsidRPr="00980644">
        <w:t xml:space="preserve"> </w:t>
      </w:r>
      <w:proofErr w:type="spellStart"/>
      <w:r w:rsidR="00C0720E" w:rsidRPr="00980644">
        <w:t>Furihata</w:t>
      </w:r>
      <w:proofErr w:type="spellEnd"/>
      <w:r w:rsidR="00E9134F" w:rsidRPr="00980644">
        <w:t xml:space="preserve"> K.</w:t>
      </w:r>
      <w:r w:rsidRPr="00980644">
        <w:t xml:space="preserve"> </w:t>
      </w:r>
      <w:r w:rsidR="00E9134F" w:rsidRPr="00980644">
        <w:t xml:space="preserve">Structure of a new antibiotic, roseophilin. Tetrahedron Lett. </w:t>
      </w:r>
      <w:r w:rsidR="00E9134F" w:rsidRPr="00980644">
        <w:rPr>
          <w:b/>
          <w:bCs/>
        </w:rPr>
        <w:t>1992</w:t>
      </w:r>
      <w:r w:rsidR="00E9134F" w:rsidRPr="00980644">
        <w:t>;33:2701−2704</w:t>
      </w:r>
      <w:r w:rsidRPr="00980644">
        <w:t xml:space="preserve">. </w:t>
      </w:r>
      <w:r w:rsidR="00C0720E" w:rsidRPr="00980644">
        <w:t xml:space="preserve">DOI: </w:t>
      </w:r>
      <w:r w:rsidR="00645D31" w:rsidRPr="00980644">
        <w:t>10.1016/S0040-4039(00)79061-7.</w:t>
      </w:r>
    </w:p>
    <w:p w14:paraId="3E7A5BFB" w14:textId="0DB5B60C" w:rsidR="00952A45" w:rsidRPr="00980644" w:rsidRDefault="00952A45" w:rsidP="004D16CA">
      <w:pPr>
        <w:pStyle w:val="References"/>
        <w:jc w:val="both"/>
      </w:pPr>
      <w:r w:rsidRPr="00980644">
        <w:t xml:space="preserve">[21] </w:t>
      </w:r>
      <w:r w:rsidR="00B90636" w:rsidRPr="00980644">
        <w:tab/>
      </w:r>
      <w:r w:rsidRPr="00980644">
        <w:t>Zhang</w:t>
      </w:r>
      <w:r w:rsidR="00E9134F" w:rsidRPr="00980644">
        <w:t xml:space="preserve"> X,</w:t>
      </w:r>
      <w:r w:rsidRPr="00980644">
        <w:t xml:space="preserve"> Zhang</w:t>
      </w:r>
      <w:r w:rsidR="00E9134F" w:rsidRPr="00980644">
        <w:t xml:space="preserve"> C,</w:t>
      </w:r>
      <w:r w:rsidRPr="00980644">
        <w:t xml:space="preserve"> Wang</w:t>
      </w:r>
      <w:r w:rsidR="00E9134F" w:rsidRPr="00980644">
        <w:t xml:space="preserve"> X,</w:t>
      </w:r>
      <w:r w:rsidRPr="00980644">
        <w:t xml:space="preserve"> </w:t>
      </w:r>
      <w:r w:rsidR="00645D31" w:rsidRPr="00980644">
        <w:t>Liang</w:t>
      </w:r>
      <w:r w:rsidR="00E9134F" w:rsidRPr="00980644">
        <w:t xml:space="preserve"> G</w:t>
      </w:r>
      <w:r w:rsidR="00645D31" w:rsidRPr="00980644">
        <w:t>.</w:t>
      </w:r>
      <w:r w:rsidRPr="00980644">
        <w:t xml:space="preserve"> </w:t>
      </w:r>
      <w:r w:rsidR="00E9134F" w:rsidRPr="00980644">
        <w:t xml:space="preserve">Mild Friedel–Crafts Reactions Enable a Robust Synthesis of Roseophilin. Org Lett. </w:t>
      </w:r>
      <w:r w:rsidR="00E9134F" w:rsidRPr="00980644">
        <w:rPr>
          <w:b/>
          <w:bCs/>
        </w:rPr>
        <w:t>2019</w:t>
      </w:r>
      <w:r w:rsidR="00E9134F" w:rsidRPr="00980644">
        <w:t>;21:3357−3360</w:t>
      </w:r>
      <w:r w:rsidR="00645D31" w:rsidRPr="00980644">
        <w:t>. DOI: 10.1021/acs.orglett.9b01100.</w:t>
      </w:r>
    </w:p>
    <w:p w14:paraId="40BAF7F5" w14:textId="7434F179" w:rsidR="00952A45" w:rsidRPr="00980644" w:rsidRDefault="00952A45" w:rsidP="004D16CA">
      <w:pPr>
        <w:pStyle w:val="References"/>
        <w:jc w:val="both"/>
      </w:pPr>
      <w:r w:rsidRPr="00980644">
        <w:t xml:space="preserve">[22] </w:t>
      </w:r>
      <w:r w:rsidR="00B90636" w:rsidRPr="00980644">
        <w:tab/>
      </w:r>
      <w:proofErr w:type="spellStart"/>
      <w:r w:rsidR="00E9134F" w:rsidRPr="00980644">
        <w:t>Fürstner</w:t>
      </w:r>
      <w:proofErr w:type="spellEnd"/>
      <w:r w:rsidR="00E9134F" w:rsidRPr="00980644">
        <w:t xml:space="preserve"> A, </w:t>
      </w:r>
      <w:proofErr w:type="spellStart"/>
      <w:r w:rsidR="00E9134F" w:rsidRPr="00980644">
        <w:t>Weintritt</w:t>
      </w:r>
      <w:proofErr w:type="spellEnd"/>
      <w:r w:rsidR="00E9134F" w:rsidRPr="00980644">
        <w:t xml:space="preserve"> H. Total Synthesis of Roseophilin. J Am Chem. Soc. </w:t>
      </w:r>
      <w:r w:rsidR="00E9134F" w:rsidRPr="00980644">
        <w:rPr>
          <w:b/>
          <w:bCs/>
        </w:rPr>
        <w:t>1998</w:t>
      </w:r>
      <w:r w:rsidR="00E9134F" w:rsidRPr="00980644">
        <w:t>;120:2817−2825</w:t>
      </w:r>
      <w:r w:rsidRPr="00980644">
        <w:t xml:space="preserve">. </w:t>
      </w:r>
      <w:r w:rsidR="00AB0849" w:rsidRPr="00980644">
        <w:t>DOI: 10.1021/ja973846k.</w:t>
      </w:r>
    </w:p>
    <w:p w14:paraId="49E5B09E" w14:textId="44DA2BBC" w:rsidR="00952A45" w:rsidRPr="00980644" w:rsidRDefault="00952A45" w:rsidP="004D16CA">
      <w:pPr>
        <w:pStyle w:val="References"/>
        <w:jc w:val="both"/>
      </w:pPr>
      <w:r w:rsidRPr="00980644">
        <w:t xml:space="preserve">[23] </w:t>
      </w:r>
      <w:r w:rsidR="00B90636" w:rsidRPr="00980644">
        <w:tab/>
      </w:r>
      <w:proofErr w:type="spellStart"/>
      <w:r w:rsidR="00E9134F" w:rsidRPr="00980644">
        <w:t>Fürstner</w:t>
      </w:r>
      <w:proofErr w:type="spellEnd"/>
      <w:r w:rsidR="00E9134F" w:rsidRPr="00980644">
        <w:t xml:space="preserve"> A, Grabowski EJ. Studies on DNA Cleavage by Cytotoxic Pyrrole Alkaloids Reveal the Distinctly Different </w:t>
      </w:r>
      <w:proofErr w:type="spellStart"/>
      <w:r w:rsidR="00E9134F" w:rsidRPr="00980644">
        <w:t>Behavior</w:t>
      </w:r>
      <w:proofErr w:type="spellEnd"/>
      <w:r w:rsidR="00E9134F" w:rsidRPr="00980644">
        <w:t xml:space="preserve"> of </w:t>
      </w:r>
      <w:proofErr w:type="spellStart"/>
      <w:r w:rsidR="00E9134F" w:rsidRPr="00980644">
        <w:t>Roseophilin</w:t>
      </w:r>
      <w:proofErr w:type="spellEnd"/>
      <w:r w:rsidR="00E9134F" w:rsidRPr="00980644">
        <w:t xml:space="preserve"> and </w:t>
      </w:r>
      <w:proofErr w:type="spellStart"/>
      <w:r w:rsidR="00E9134F" w:rsidRPr="00980644">
        <w:t>Prodigiosin</w:t>
      </w:r>
      <w:proofErr w:type="spellEnd"/>
      <w:r w:rsidR="00E9134F" w:rsidRPr="00980644">
        <w:t xml:space="preserve"> Derivatives. </w:t>
      </w:r>
      <w:proofErr w:type="spellStart"/>
      <w:r w:rsidR="00E9134F" w:rsidRPr="00980644">
        <w:t>ChemBioChem</w:t>
      </w:r>
      <w:proofErr w:type="spellEnd"/>
      <w:r w:rsidR="00E9134F" w:rsidRPr="00980644">
        <w:t xml:space="preserve">. </w:t>
      </w:r>
      <w:r w:rsidR="00E9134F" w:rsidRPr="00980644">
        <w:rPr>
          <w:b/>
          <w:bCs/>
        </w:rPr>
        <w:t>2001</w:t>
      </w:r>
      <w:r w:rsidR="00E9134F" w:rsidRPr="00980644">
        <w:t>;2:706−709</w:t>
      </w:r>
      <w:r w:rsidR="00AB0849" w:rsidRPr="00980644">
        <w:t xml:space="preserve">. DOI: </w:t>
      </w:r>
      <w:r w:rsidR="00755630" w:rsidRPr="00980644">
        <w:t>10.1002/1439-7633(20010903)2:9&lt;</w:t>
      </w:r>
      <w:proofErr w:type="gramStart"/>
      <w:r w:rsidR="00755630" w:rsidRPr="00980644">
        <w:t>706::</w:t>
      </w:r>
      <w:proofErr w:type="gramEnd"/>
      <w:r w:rsidR="00755630" w:rsidRPr="00980644">
        <w:t>AID-CBIC706&gt;3.0.CO;2-J.</w:t>
      </w:r>
    </w:p>
    <w:p w14:paraId="150DAC13" w14:textId="073D31C0" w:rsidR="00525A14" w:rsidRPr="00980644" w:rsidRDefault="00525A14" w:rsidP="004D16CA">
      <w:pPr>
        <w:pStyle w:val="References"/>
        <w:jc w:val="both"/>
      </w:pPr>
      <w:r w:rsidRPr="00980644">
        <w:t xml:space="preserve">[24] </w:t>
      </w:r>
      <w:r w:rsidR="00B90636" w:rsidRPr="00980644">
        <w:tab/>
      </w:r>
      <w:r w:rsidRPr="00980644">
        <w:t>Haynes</w:t>
      </w:r>
      <w:r w:rsidR="00E9134F" w:rsidRPr="00980644">
        <w:t xml:space="preserve"> SW,</w:t>
      </w:r>
      <w:r w:rsidRPr="00980644">
        <w:t xml:space="preserve"> </w:t>
      </w:r>
      <w:proofErr w:type="spellStart"/>
      <w:r w:rsidRPr="00980644">
        <w:t>Sydor</w:t>
      </w:r>
      <w:proofErr w:type="spellEnd"/>
      <w:r w:rsidR="00E9134F" w:rsidRPr="00980644">
        <w:t xml:space="preserve"> PK,</w:t>
      </w:r>
      <w:r w:rsidRPr="00980644">
        <w:t xml:space="preserve"> Stanley</w:t>
      </w:r>
      <w:r w:rsidR="00E9134F" w:rsidRPr="00980644">
        <w:t xml:space="preserve"> AE,</w:t>
      </w:r>
      <w:r w:rsidRPr="00980644">
        <w:t xml:space="preserve"> </w:t>
      </w:r>
      <w:r w:rsidR="00755630" w:rsidRPr="00980644">
        <w:t>Song</w:t>
      </w:r>
      <w:r w:rsidR="00E9134F" w:rsidRPr="00980644">
        <w:t xml:space="preserve"> L,</w:t>
      </w:r>
      <w:r w:rsidR="00755630" w:rsidRPr="00980644">
        <w:t xml:space="preserve"> Challis</w:t>
      </w:r>
      <w:r w:rsidR="00E9134F" w:rsidRPr="00980644">
        <w:t xml:space="preserve"> GL</w:t>
      </w:r>
      <w:r w:rsidR="00755630" w:rsidRPr="00980644">
        <w:t>.</w:t>
      </w:r>
      <w:r w:rsidRPr="00980644">
        <w:t xml:space="preserve"> </w:t>
      </w:r>
      <w:r w:rsidR="00E9134F" w:rsidRPr="00980644">
        <w:t xml:space="preserve">Role and substrate specificity of the Streptomyces </w:t>
      </w:r>
      <w:proofErr w:type="spellStart"/>
      <w:r w:rsidR="00E9134F" w:rsidRPr="00980644">
        <w:t>coelicolor</w:t>
      </w:r>
      <w:proofErr w:type="spellEnd"/>
      <w:r w:rsidR="00E9134F" w:rsidRPr="00980644">
        <w:t xml:space="preserve"> </w:t>
      </w:r>
      <w:proofErr w:type="spellStart"/>
      <w:r w:rsidR="00E9134F" w:rsidRPr="00980644">
        <w:t>RedH</w:t>
      </w:r>
      <w:proofErr w:type="spellEnd"/>
      <w:r w:rsidR="00E9134F" w:rsidRPr="00980644">
        <w:t xml:space="preserve"> enzyme in </w:t>
      </w:r>
      <w:proofErr w:type="spellStart"/>
      <w:r w:rsidR="00E9134F" w:rsidRPr="00980644">
        <w:t>undecylprodiginine</w:t>
      </w:r>
      <w:proofErr w:type="spellEnd"/>
      <w:r w:rsidR="00E9134F" w:rsidRPr="00980644">
        <w:t xml:space="preserve"> </w:t>
      </w:r>
      <w:proofErr w:type="spellStart"/>
      <w:r w:rsidR="00E9134F" w:rsidRPr="00980644">
        <w:t>biosynthesisChem</w:t>
      </w:r>
      <w:proofErr w:type="spellEnd"/>
      <w:r w:rsidR="00E9134F" w:rsidRPr="00980644">
        <w:t xml:space="preserve"> </w:t>
      </w:r>
      <w:proofErr w:type="spellStart"/>
      <w:r w:rsidR="00E9134F" w:rsidRPr="00980644">
        <w:t>Commun</w:t>
      </w:r>
      <w:proofErr w:type="spellEnd"/>
      <w:r w:rsidR="00E9134F" w:rsidRPr="00980644">
        <w:t xml:space="preserve">. </w:t>
      </w:r>
      <w:r w:rsidR="00E9134F" w:rsidRPr="00980644">
        <w:rPr>
          <w:b/>
          <w:bCs/>
        </w:rPr>
        <w:t>2008</w:t>
      </w:r>
      <w:r w:rsidR="00E9134F" w:rsidRPr="00980644">
        <w:t>;1865−1867</w:t>
      </w:r>
      <w:r w:rsidRPr="00980644">
        <w:t>.</w:t>
      </w:r>
      <w:r w:rsidR="00755630" w:rsidRPr="00980644">
        <w:t xml:space="preserve"> DOI: 10.1039/B801677A.</w:t>
      </w:r>
    </w:p>
    <w:p w14:paraId="30CF8A33" w14:textId="4787A4F5" w:rsidR="00525A14" w:rsidRPr="00980644" w:rsidRDefault="00525A14" w:rsidP="004D16CA">
      <w:pPr>
        <w:pStyle w:val="References"/>
        <w:jc w:val="both"/>
      </w:pPr>
      <w:r w:rsidRPr="00980644">
        <w:t xml:space="preserve">[25] </w:t>
      </w:r>
      <w:r w:rsidR="00B90636" w:rsidRPr="00980644">
        <w:tab/>
      </w:r>
      <w:proofErr w:type="spellStart"/>
      <w:r w:rsidRPr="00980644">
        <w:t>Daïri</w:t>
      </w:r>
      <w:proofErr w:type="spellEnd"/>
      <w:r w:rsidR="00E9134F" w:rsidRPr="00980644">
        <w:t xml:space="preserve"> K,</w:t>
      </w:r>
      <w:r w:rsidRPr="00980644">
        <w:t xml:space="preserve"> Yao</w:t>
      </w:r>
      <w:r w:rsidR="00E9134F" w:rsidRPr="00980644">
        <w:t xml:space="preserve"> Y,</w:t>
      </w:r>
      <w:r w:rsidRPr="00980644">
        <w:t xml:space="preserve"> </w:t>
      </w:r>
      <w:proofErr w:type="spellStart"/>
      <w:r w:rsidRPr="00980644">
        <w:t>Faley</w:t>
      </w:r>
      <w:proofErr w:type="spellEnd"/>
      <w:r w:rsidR="00E9134F" w:rsidRPr="00980644">
        <w:t xml:space="preserve"> M,</w:t>
      </w:r>
      <w:r w:rsidRPr="00980644">
        <w:t xml:space="preserve"> </w:t>
      </w:r>
      <w:proofErr w:type="spellStart"/>
      <w:r w:rsidR="00755630" w:rsidRPr="00980644">
        <w:t>Tripathy</w:t>
      </w:r>
      <w:proofErr w:type="spellEnd"/>
      <w:r w:rsidR="00E9134F" w:rsidRPr="00980644">
        <w:t xml:space="preserve"> S,</w:t>
      </w:r>
      <w:r w:rsidR="00755630" w:rsidRPr="00980644">
        <w:t xml:space="preserve"> </w:t>
      </w:r>
      <w:proofErr w:type="spellStart"/>
      <w:r w:rsidR="00755630" w:rsidRPr="00980644">
        <w:t>Rioux</w:t>
      </w:r>
      <w:proofErr w:type="spellEnd"/>
      <w:r w:rsidR="00E9134F" w:rsidRPr="00980644">
        <w:t xml:space="preserve"> E,</w:t>
      </w:r>
      <w:r w:rsidR="00755630" w:rsidRPr="00980644">
        <w:t xml:space="preserve"> </w:t>
      </w:r>
      <w:proofErr w:type="spellStart"/>
      <w:r w:rsidR="00755630" w:rsidRPr="00980644">
        <w:t>Billot</w:t>
      </w:r>
      <w:proofErr w:type="spellEnd"/>
      <w:r w:rsidR="00E9134F" w:rsidRPr="00980644">
        <w:t xml:space="preserve"> X,</w:t>
      </w:r>
      <w:r w:rsidR="00755630" w:rsidRPr="00980644">
        <w:t xml:space="preserve"> </w:t>
      </w:r>
      <w:proofErr w:type="spellStart"/>
      <w:r w:rsidR="00755630" w:rsidRPr="00980644">
        <w:t>Rabouin</w:t>
      </w:r>
      <w:proofErr w:type="spellEnd"/>
      <w:r w:rsidR="00E9134F" w:rsidRPr="00980644">
        <w:t xml:space="preserve"> D,</w:t>
      </w:r>
      <w:r w:rsidR="00755630" w:rsidRPr="00980644">
        <w:t xml:space="preserve"> Gonzalez</w:t>
      </w:r>
      <w:r w:rsidR="00484ACF" w:rsidRPr="00980644">
        <w:t xml:space="preserve"> G,</w:t>
      </w:r>
      <w:r w:rsidR="00755630" w:rsidRPr="00980644">
        <w:t xml:space="preserve"> </w:t>
      </w:r>
      <w:proofErr w:type="spellStart"/>
      <w:r w:rsidR="00755630" w:rsidRPr="00980644">
        <w:t>Lavallée</w:t>
      </w:r>
      <w:proofErr w:type="spellEnd"/>
      <w:r w:rsidR="00484ACF" w:rsidRPr="00980644">
        <w:t xml:space="preserve"> J-F,</w:t>
      </w:r>
      <w:r w:rsidR="00755630" w:rsidRPr="00980644">
        <w:t xml:space="preserve"> </w:t>
      </w:r>
      <w:proofErr w:type="spellStart"/>
      <w:r w:rsidR="00755630" w:rsidRPr="00980644">
        <w:t>Attardo</w:t>
      </w:r>
      <w:proofErr w:type="spellEnd"/>
      <w:r w:rsidR="00484ACF" w:rsidRPr="00980644">
        <w:t xml:space="preserve"> G.</w:t>
      </w:r>
      <w:r w:rsidRPr="00980644">
        <w:t xml:space="preserve"> </w:t>
      </w:r>
      <w:r w:rsidR="00484ACF" w:rsidRPr="00980644">
        <w:t xml:space="preserve">A Scalable Process for the Synthesis of the </w:t>
      </w:r>
      <w:proofErr w:type="spellStart"/>
      <w:r w:rsidR="00484ACF" w:rsidRPr="00980644">
        <w:t>Bcl</w:t>
      </w:r>
      <w:proofErr w:type="spellEnd"/>
      <w:r w:rsidR="00484ACF" w:rsidRPr="00980644">
        <w:t xml:space="preserve"> Inhibitor Obatoclax. Org Process Res Dev. </w:t>
      </w:r>
      <w:r w:rsidR="00484ACF" w:rsidRPr="00980644">
        <w:rPr>
          <w:b/>
          <w:bCs/>
        </w:rPr>
        <w:t>2007</w:t>
      </w:r>
      <w:r w:rsidR="00484ACF" w:rsidRPr="00980644">
        <w:t>;11:1051−1054</w:t>
      </w:r>
      <w:r w:rsidR="00755630" w:rsidRPr="00980644">
        <w:t>.</w:t>
      </w:r>
      <w:r w:rsidRPr="00980644">
        <w:t xml:space="preserve"> </w:t>
      </w:r>
      <w:r w:rsidR="00755630" w:rsidRPr="00980644">
        <w:t xml:space="preserve">DOI: </w:t>
      </w:r>
      <w:r w:rsidR="007D2395" w:rsidRPr="00980644">
        <w:t>10.1021/op7001613.</w:t>
      </w:r>
    </w:p>
    <w:p w14:paraId="365D5394" w14:textId="12B93DDE" w:rsidR="00525A14" w:rsidRPr="00980644" w:rsidRDefault="00525A14" w:rsidP="004D16CA">
      <w:pPr>
        <w:pStyle w:val="References"/>
        <w:jc w:val="both"/>
      </w:pPr>
      <w:r w:rsidRPr="00980644">
        <w:t xml:space="preserve">[26] </w:t>
      </w:r>
      <w:r w:rsidR="00B90636" w:rsidRPr="00980644">
        <w:tab/>
      </w:r>
      <w:r w:rsidR="00484ACF" w:rsidRPr="00980644">
        <w:t xml:space="preserve">Aldrich LN, Dawson ES, Lindsley CW. Evaluation of the Biosynthetic Proposal for the Synthesis of </w:t>
      </w:r>
      <w:proofErr w:type="spellStart"/>
      <w:r w:rsidR="00484ACF" w:rsidRPr="00980644">
        <w:t>Marineosins</w:t>
      </w:r>
      <w:proofErr w:type="spellEnd"/>
      <w:r w:rsidR="00484ACF" w:rsidRPr="00980644">
        <w:t xml:space="preserve"> A and B. Org Lett. </w:t>
      </w:r>
      <w:r w:rsidR="00484ACF" w:rsidRPr="00980644">
        <w:rPr>
          <w:b/>
          <w:bCs/>
        </w:rPr>
        <w:t>2010</w:t>
      </w:r>
      <w:r w:rsidR="00484ACF" w:rsidRPr="00980644">
        <w:t>;12:1048−1051</w:t>
      </w:r>
      <w:r w:rsidRPr="00980644">
        <w:t>.</w:t>
      </w:r>
      <w:r w:rsidR="007D2395" w:rsidRPr="00980644">
        <w:t xml:space="preserve"> DOI: 10.1021/ol100034p.</w:t>
      </w:r>
    </w:p>
    <w:p w14:paraId="239C93FB" w14:textId="2DF43ACD" w:rsidR="00525A14" w:rsidRPr="00306F0F" w:rsidRDefault="00525A14" w:rsidP="004D16CA">
      <w:pPr>
        <w:pStyle w:val="References"/>
        <w:jc w:val="both"/>
        <w:rPr>
          <w:lang w:val="es-ES"/>
        </w:rPr>
      </w:pPr>
      <w:r w:rsidRPr="00980644">
        <w:t>[27]</w:t>
      </w:r>
      <w:r w:rsidR="007D2395" w:rsidRPr="00980644">
        <w:t xml:space="preserve"> </w:t>
      </w:r>
      <w:r w:rsidR="00B90636" w:rsidRPr="00980644">
        <w:tab/>
      </w:r>
      <w:r w:rsidR="00484ACF" w:rsidRPr="00980644">
        <w:t xml:space="preserve">Jowett LA, Gale PA. Supramolecular methods: the chloride/nitrate transmembrane exchange assay, Supramolecular Chemistry. </w:t>
      </w:r>
      <w:r w:rsidR="00484ACF" w:rsidRPr="00306F0F">
        <w:rPr>
          <w:b/>
          <w:bCs/>
          <w:lang w:val="es-ES"/>
        </w:rPr>
        <w:t>2019</w:t>
      </w:r>
      <w:r w:rsidR="00484ACF" w:rsidRPr="00306F0F">
        <w:rPr>
          <w:lang w:val="es-ES"/>
        </w:rPr>
        <w:t>;31:5,297−312</w:t>
      </w:r>
      <w:r w:rsidR="007D2395" w:rsidRPr="00306F0F">
        <w:rPr>
          <w:lang w:val="es-ES"/>
        </w:rPr>
        <w:t xml:space="preserve">. DOI: </w:t>
      </w:r>
      <w:r w:rsidR="007D2395" w:rsidRPr="00306F0F">
        <w:rPr>
          <w:rStyle w:val="doilink"/>
          <w:lang w:val="es-ES"/>
        </w:rPr>
        <w:t>10.1080/10610278.2019.1574017.</w:t>
      </w:r>
    </w:p>
    <w:p w14:paraId="4FDDB3E7" w14:textId="18287413" w:rsidR="0020095D" w:rsidRPr="00980644" w:rsidRDefault="0020095D" w:rsidP="004D16CA">
      <w:pPr>
        <w:pStyle w:val="References"/>
        <w:jc w:val="both"/>
      </w:pPr>
      <w:r w:rsidRPr="00306F0F">
        <w:rPr>
          <w:lang w:val="es-ES"/>
        </w:rPr>
        <w:t xml:space="preserve">[28] </w:t>
      </w:r>
      <w:r w:rsidR="00D56B02" w:rsidRPr="00306F0F">
        <w:rPr>
          <w:lang w:val="es-ES"/>
        </w:rPr>
        <w:tab/>
      </w:r>
      <w:r w:rsidR="00484ACF" w:rsidRPr="00306F0F">
        <w:rPr>
          <w:lang w:val="es-ES"/>
        </w:rPr>
        <w:t xml:space="preserve">García-Valverde M, Alfonso I, Quiñonero D, et al. </w:t>
      </w:r>
      <w:r w:rsidR="00484ACF" w:rsidRPr="00980644">
        <w:t xml:space="preserve">Conformational Analysis of a Model Synthetic Prodiginine. J Org Chem. </w:t>
      </w:r>
      <w:r w:rsidR="00484ACF" w:rsidRPr="00980644">
        <w:rPr>
          <w:b/>
          <w:bCs/>
        </w:rPr>
        <w:t>2012</w:t>
      </w:r>
      <w:r w:rsidR="00484ACF" w:rsidRPr="00980644">
        <w:t>;77:6538−6544</w:t>
      </w:r>
      <w:r w:rsidR="00D56B02" w:rsidRPr="00980644">
        <w:t>. DOI: 10.1021/jo301008c.</w:t>
      </w:r>
    </w:p>
    <w:p w14:paraId="061C6662" w14:textId="1CE50230" w:rsidR="00F80768" w:rsidRPr="00980644" w:rsidRDefault="00F80768" w:rsidP="004D16CA">
      <w:pPr>
        <w:pStyle w:val="References"/>
        <w:jc w:val="both"/>
      </w:pPr>
      <w:r w:rsidRPr="00980644">
        <w:t>[29]</w:t>
      </w:r>
      <w:r w:rsidR="00503F23" w:rsidRPr="00980644">
        <w:t xml:space="preserve"> </w:t>
      </w:r>
      <w:r w:rsidR="00695818" w:rsidRPr="00980644">
        <w:t xml:space="preserve">  </w:t>
      </w:r>
      <w:r w:rsidR="00503F23" w:rsidRPr="00980644">
        <w:t>Jeffrey</w:t>
      </w:r>
      <w:r w:rsidR="00484ACF" w:rsidRPr="00980644">
        <w:t xml:space="preserve"> GA</w:t>
      </w:r>
      <w:r w:rsidR="00503F23" w:rsidRPr="00980644">
        <w:t xml:space="preserve">. An Introduction to Hydrogen Bonding. Oxford University Press, Oxford, UK; </w:t>
      </w:r>
      <w:r w:rsidR="00503F23" w:rsidRPr="00980644">
        <w:rPr>
          <w:b/>
          <w:bCs/>
        </w:rPr>
        <w:t>1997</w:t>
      </w:r>
      <w:r w:rsidR="00503F23" w:rsidRPr="00980644">
        <w:t xml:space="preserve">. </w:t>
      </w:r>
    </w:p>
    <w:p w14:paraId="384A9EFA" w14:textId="23FE947D" w:rsidR="00503F23" w:rsidRPr="00980644" w:rsidRDefault="00F80768" w:rsidP="00503F23">
      <w:pPr>
        <w:pStyle w:val="References"/>
        <w:jc w:val="both"/>
      </w:pPr>
      <w:r w:rsidRPr="00980644">
        <w:t>[30]</w:t>
      </w:r>
      <w:r w:rsidR="00503F23" w:rsidRPr="00980644">
        <w:t xml:space="preserve"> </w:t>
      </w:r>
      <w:r w:rsidR="00695818" w:rsidRPr="00980644">
        <w:t xml:space="preserve">    </w:t>
      </w:r>
      <w:r w:rsidR="00503F23" w:rsidRPr="00980644">
        <w:t>Steiner</w:t>
      </w:r>
      <w:r w:rsidR="00484ACF" w:rsidRPr="00980644">
        <w:t xml:space="preserve"> T</w:t>
      </w:r>
      <w:r w:rsidR="00503F23" w:rsidRPr="00980644">
        <w:t xml:space="preserve">. The Hydrogen Bond in the Solid State. </w:t>
      </w:r>
      <w:proofErr w:type="spellStart"/>
      <w:r w:rsidR="00503F23" w:rsidRPr="00980644">
        <w:t>Angew</w:t>
      </w:r>
      <w:proofErr w:type="spellEnd"/>
      <w:r w:rsidR="00503F23" w:rsidRPr="00980644">
        <w:t xml:space="preserve"> Chem Int Ed. </w:t>
      </w:r>
      <w:r w:rsidR="00503F23" w:rsidRPr="00980644">
        <w:rPr>
          <w:b/>
          <w:bCs/>
        </w:rPr>
        <w:t>2002</w:t>
      </w:r>
      <w:r w:rsidR="00484ACF" w:rsidRPr="00980644">
        <w:t>;</w:t>
      </w:r>
      <w:r w:rsidR="00503F23" w:rsidRPr="00980644">
        <w:t>41</w:t>
      </w:r>
      <w:r w:rsidR="00484ACF" w:rsidRPr="00980644">
        <w:t>:</w:t>
      </w:r>
      <w:r w:rsidR="00695818" w:rsidRPr="00980644">
        <w:t xml:space="preserve"> </w:t>
      </w:r>
      <w:r w:rsidR="00503F23" w:rsidRPr="00980644">
        <w:t>48–76. DOI: 10.1002/1521-3773(20020104)41:1&lt;</w:t>
      </w:r>
      <w:proofErr w:type="gramStart"/>
      <w:r w:rsidR="00503F23" w:rsidRPr="00980644">
        <w:t>48::</w:t>
      </w:r>
      <w:proofErr w:type="gramEnd"/>
      <w:r w:rsidR="00503F23" w:rsidRPr="00980644">
        <w:t>AID-ANIE48&gt;3.0.CO;2-U</w:t>
      </w:r>
    </w:p>
    <w:p w14:paraId="1C136587" w14:textId="50CDF3AC" w:rsidR="001E1D3E" w:rsidRPr="00306F0F" w:rsidRDefault="0020095D" w:rsidP="004D16CA">
      <w:pPr>
        <w:pStyle w:val="References"/>
        <w:jc w:val="both"/>
        <w:rPr>
          <w:lang w:val="es-ES"/>
        </w:rPr>
      </w:pPr>
      <w:r w:rsidRPr="00306F0F">
        <w:rPr>
          <w:lang w:val="es-ES"/>
        </w:rPr>
        <w:lastRenderedPageBreak/>
        <w:t>[</w:t>
      </w:r>
      <w:r w:rsidR="00F80768" w:rsidRPr="00306F0F">
        <w:rPr>
          <w:lang w:val="es-ES"/>
        </w:rPr>
        <w:t>31</w:t>
      </w:r>
      <w:r w:rsidRPr="00306F0F">
        <w:rPr>
          <w:lang w:val="es-ES"/>
        </w:rPr>
        <w:t xml:space="preserve">] </w:t>
      </w:r>
      <w:r w:rsidR="00B90636" w:rsidRPr="00306F0F">
        <w:rPr>
          <w:lang w:val="es-ES"/>
        </w:rPr>
        <w:tab/>
      </w:r>
      <w:proofErr w:type="spellStart"/>
      <w:r w:rsidR="001E1D3E" w:rsidRPr="00306F0F">
        <w:rPr>
          <w:lang w:val="es-ES"/>
        </w:rPr>
        <w:t>Carreira</w:t>
      </w:r>
      <w:proofErr w:type="spellEnd"/>
      <w:r w:rsidR="001E1D3E" w:rsidRPr="00306F0F">
        <w:rPr>
          <w:lang w:val="es-ES"/>
        </w:rPr>
        <w:t>-Barral</w:t>
      </w:r>
      <w:r w:rsidR="00484ACF" w:rsidRPr="00306F0F">
        <w:rPr>
          <w:lang w:val="es-ES"/>
        </w:rPr>
        <w:t xml:space="preserve"> I,</w:t>
      </w:r>
      <w:r w:rsidR="001E1D3E" w:rsidRPr="00306F0F">
        <w:rPr>
          <w:lang w:val="es-ES"/>
        </w:rPr>
        <w:t xml:space="preserve"> </w:t>
      </w:r>
      <w:proofErr w:type="spellStart"/>
      <w:r w:rsidR="001E1D3E" w:rsidRPr="00306F0F">
        <w:rPr>
          <w:lang w:val="es-ES"/>
        </w:rPr>
        <w:t>Mielczarek</w:t>
      </w:r>
      <w:proofErr w:type="spellEnd"/>
      <w:r w:rsidR="00484ACF" w:rsidRPr="00306F0F">
        <w:rPr>
          <w:lang w:val="es-ES"/>
        </w:rPr>
        <w:t xml:space="preserve"> M,</w:t>
      </w:r>
      <w:r w:rsidR="001E1D3E" w:rsidRPr="00306F0F">
        <w:rPr>
          <w:lang w:val="es-ES"/>
        </w:rPr>
        <w:t xml:space="preserve"> Alonso-Carrillo</w:t>
      </w:r>
      <w:r w:rsidR="00484ACF" w:rsidRPr="00306F0F">
        <w:rPr>
          <w:lang w:val="es-ES"/>
        </w:rPr>
        <w:t xml:space="preserve"> D,</w:t>
      </w:r>
      <w:r w:rsidR="001E1D3E" w:rsidRPr="00306F0F">
        <w:rPr>
          <w:lang w:val="es-ES"/>
        </w:rPr>
        <w:t xml:space="preserve"> Capurro</w:t>
      </w:r>
      <w:r w:rsidR="00484ACF" w:rsidRPr="00306F0F">
        <w:rPr>
          <w:lang w:val="es-ES"/>
        </w:rPr>
        <w:t xml:space="preserve"> V,</w:t>
      </w:r>
      <w:r w:rsidR="001E1D3E" w:rsidRPr="00306F0F">
        <w:rPr>
          <w:lang w:val="es-ES"/>
        </w:rPr>
        <w:t xml:space="preserve"> Soto-Cerrato</w:t>
      </w:r>
      <w:r w:rsidR="00484ACF" w:rsidRPr="00306F0F">
        <w:rPr>
          <w:lang w:val="es-ES"/>
        </w:rPr>
        <w:t xml:space="preserve"> V,</w:t>
      </w:r>
      <w:r w:rsidR="001E1D3E" w:rsidRPr="00306F0F">
        <w:rPr>
          <w:lang w:val="es-ES"/>
        </w:rPr>
        <w:t xml:space="preserve"> Pérez-Tomás</w:t>
      </w:r>
      <w:r w:rsidR="00484ACF" w:rsidRPr="00306F0F">
        <w:rPr>
          <w:lang w:val="es-ES"/>
        </w:rPr>
        <w:t xml:space="preserve"> R,</w:t>
      </w:r>
      <w:r w:rsidR="001E1D3E" w:rsidRPr="00306F0F">
        <w:rPr>
          <w:lang w:val="es-ES"/>
        </w:rPr>
        <w:t xml:space="preserve"> </w:t>
      </w:r>
      <w:proofErr w:type="spellStart"/>
      <w:r w:rsidR="001E1D3E" w:rsidRPr="00306F0F">
        <w:rPr>
          <w:lang w:val="es-ES"/>
        </w:rPr>
        <w:t>Caci</w:t>
      </w:r>
      <w:proofErr w:type="spellEnd"/>
      <w:r w:rsidR="00484ACF" w:rsidRPr="00306F0F">
        <w:rPr>
          <w:lang w:val="es-ES"/>
        </w:rPr>
        <w:t xml:space="preserve"> E,</w:t>
      </w:r>
      <w:r w:rsidR="001E1D3E" w:rsidRPr="00306F0F">
        <w:rPr>
          <w:lang w:val="es-ES"/>
        </w:rPr>
        <w:t xml:space="preserve"> García-Valverde</w:t>
      </w:r>
      <w:r w:rsidR="00484ACF" w:rsidRPr="00306F0F">
        <w:rPr>
          <w:lang w:val="es-ES"/>
        </w:rPr>
        <w:t xml:space="preserve"> M,</w:t>
      </w:r>
      <w:r w:rsidR="001E1D3E" w:rsidRPr="00306F0F">
        <w:rPr>
          <w:lang w:val="es-ES"/>
        </w:rPr>
        <w:t xml:space="preserve"> Quesada</w:t>
      </w:r>
      <w:r w:rsidR="00484ACF" w:rsidRPr="00306F0F">
        <w:rPr>
          <w:lang w:val="es-ES"/>
        </w:rPr>
        <w:t xml:space="preserve"> R</w:t>
      </w:r>
      <w:r w:rsidR="001E1D3E" w:rsidRPr="00306F0F">
        <w:rPr>
          <w:lang w:val="es-ES"/>
        </w:rPr>
        <w:t xml:space="preserve">. </w:t>
      </w:r>
      <w:proofErr w:type="spellStart"/>
      <w:r w:rsidR="001E1D3E" w:rsidRPr="00306F0F">
        <w:rPr>
          <w:lang w:val="es-ES"/>
        </w:rPr>
        <w:t>Chem</w:t>
      </w:r>
      <w:proofErr w:type="spellEnd"/>
      <w:r w:rsidR="001E1D3E" w:rsidRPr="00306F0F">
        <w:rPr>
          <w:lang w:val="es-ES"/>
        </w:rPr>
        <w:t xml:space="preserve"> </w:t>
      </w:r>
      <w:proofErr w:type="spellStart"/>
      <w:r w:rsidR="001E1D3E" w:rsidRPr="00306F0F">
        <w:rPr>
          <w:lang w:val="es-ES"/>
        </w:rPr>
        <w:t>Commun</w:t>
      </w:r>
      <w:proofErr w:type="spellEnd"/>
      <w:r w:rsidR="001E1D3E" w:rsidRPr="00306F0F">
        <w:rPr>
          <w:lang w:val="es-ES"/>
        </w:rPr>
        <w:t xml:space="preserve">. </w:t>
      </w:r>
      <w:r w:rsidR="001E1D3E" w:rsidRPr="00306F0F">
        <w:rPr>
          <w:b/>
          <w:bCs/>
          <w:lang w:val="es-ES"/>
        </w:rPr>
        <w:t>2020</w:t>
      </w:r>
      <w:r w:rsidR="00484ACF" w:rsidRPr="00306F0F">
        <w:rPr>
          <w:lang w:val="es-ES"/>
        </w:rPr>
        <w:t>;</w:t>
      </w:r>
      <w:r w:rsidR="001E1D3E" w:rsidRPr="00306F0F">
        <w:rPr>
          <w:lang w:val="es-ES"/>
        </w:rPr>
        <w:t>56</w:t>
      </w:r>
      <w:r w:rsidR="00484ACF" w:rsidRPr="00306F0F">
        <w:rPr>
          <w:lang w:val="es-ES"/>
        </w:rPr>
        <w:t>:</w:t>
      </w:r>
      <w:r w:rsidR="001E1D3E" w:rsidRPr="00306F0F">
        <w:rPr>
          <w:lang w:val="es-ES"/>
        </w:rPr>
        <w:t>3218</w:t>
      </w:r>
      <w:r w:rsidR="00484ACF" w:rsidRPr="00306F0F">
        <w:rPr>
          <w:lang w:val="es-ES"/>
        </w:rPr>
        <w:t>–3221</w:t>
      </w:r>
      <w:r w:rsidR="001E1D3E" w:rsidRPr="00306F0F">
        <w:rPr>
          <w:lang w:val="es-ES"/>
        </w:rPr>
        <w:t>. DOI: 10.1039/D0CC00643B</w:t>
      </w:r>
    </w:p>
    <w:p w14:paraId="619F4D52" w14:textId="1891B6BF" w:rsidR="00F80768" w:rsidRPr="00980644" w:rsidRDefault="00F80768" w:rsidP="004D16CA">
      <w:pPr>
        <w:pStyle w:val="References"/>
        <w:jc w:val="both"/>
      </w:pPr>
      <w:r w:rsidRPr="00306F0F">
        <w:rPr>
          <w:lang w:val="es-ES"/>
        </w:rPr>
        <w:t>[32]</w:t>
      </w:r>
      <w:r w:rsidR="00695818" w:rsidRPr="00306F0F">
        <w:rPr>
          <w:lang w:val="es-ES"/>
        </w:rPr>
        <w:t xml:space="preserve">   </w:t>
      </w:r>
      <w:r w:rsidR="00AE0638" w:rsidRPr="00306F0F">
        <w:rPr>
          <w:lang w:val="es-ES"/>
        </w:rPr>
        <w:t xml:space="preserve">Díaz de </w:t>
      </w:r>
      <w:proofErr w:type="spellStart"/>
      <w:r w:rsidR="00AE0638" w:rsidRPr="00306F0F">
        <w:rPr>
          <w:lang w:val="es-ES"/>
        </w:rPr>
        <w:t>Greñu</w:t>
      </w:r>
      <w:proofErr w:type="spellEnd"/>
      <w:r w:rsidR="00484ACF" w:rsidRPr="00306F0F">
        <w:rPr>
          <w:lang w:val="es-ES"/>
        </w:rPr>
        <w:t xml:space="preserve"> B,</w:t>
      </w:r>
      <w:r w:rsidR="00AE0638" w:rsidRPr="00306F0F">
        <w:rPr>
          <w:lang w:val="es-ES"/>
        </w:rPr>
        <w:t xml:space="preserve"> Iglesias Hernández</w:t>
      </w:r>
      <w:r w:rsidR="00484ACF" w:rsidRPr="00306F0F">
        <w:rPr>
          <w:lang w:val="es-ES"/>
        </w:rPr>
        <w:t xml:space="preserve"> P,</w:t>
      </w:r>
      <w:r w:rsidR="00AE0638" w:rsidRPr="00306F0F">
        <w:rPr>
          <w:lang w:val="es-ES"/>
        </w:rPr>
        <w:t xml:space="preserve"> Espona</w:t>
      </w:r>
      <w:r w:rsidR="00484ACF" w:rsidRPr="00306F0F">
        <w:rPr>
          <w:lang w:val="es-ES"/>
        </w:rPr>
        <w:t xml:space="preserve"> M,</w:t>
      </w:r>
      <w:r w:rsidR="00AE0638" w:rsidRPr="00306F0F">
        <w:rPr>
          <w:lang w:val="es-ES"/>
        </w:rPr>
        <w:t xml:space="preserve"> Quiñonero</w:t>
      </w:r>
      <w:r w:rsidR="00484ACF" w:rsidRPr="00306F0F">
        <w:rPr>
          <w:lang w:val="es-ES"/>
        </w:rPr>
        <w:t xml:space="preserve"> E,</w:t>
      </w:r>
      <w:r w:rsidR="00AE0638" w:rsidRPr="00306F0F">
        <w:rPr>
          <w:lang w:val="es-ES"/>
        </w:rPr>
        <w:t xml:space="preserve"> Light</w:t>
      </w:r>
      <w:r w:rsidR="00484ACF" w:rsidRPr="00306F0F">
        <w:rPr>
          <w:lang w:val="es-ES"/>
        </w:rPr>
        <w:t xml:space="preserve"> ME,</w:t>
      </w:r>
      <w:r w:rsidR="00AE0638" w:rsidRPr="00306F0F">
        <w:rPr>
          <w:lang w:val="es-ES"/>
        </w:rPr>
        <w:t xml:space="preserve"> Torroba</w:t>
      </w:r>
      <w:r w:rsidR="00484ACF" w:rsidRPr="00306F0F">
        <w:rPr>
          <w:lang w:val="es-ES"/>
        </w:rPr>
        <w:t xml:space="preserve"> T,</w:t>
      </w:r>
      <w:r w:rsidR="00AE0638" w:rsidRPr="00306F0F">
        <w:rPr>
          <w:lang w:val="es-ES"/>
        </w:rPr>
        <w:t xml:space="preserve"> Pérez-Tomás</w:t>
      </w:r>
      <w:r w:rsidR="00484ACF" w:rsidRPr="00306F0F">
        <w:rPr>
          <w:lang w:val="es-ES"/>
        </w:rPr>
        <w:t xml:space="preserve"> R,</w:t>
      </w:r>
      <w:r w:rsidR="00AE0638" w:rsidRPr="00306F0F">
        <w:rPr>
          <w:lang w:val="es-ES"/>
        </w:rPr>
        <w:t xml:space="preserve"> Quesada</w:t>
      </w:r>
      <w:r w:rsidR="00484ACF" w:rsidRPr="00306F0F">
        <w:rPr>
          <w:lang w:val="es-ES"/>
        </w:rPr>
        <w:t xml:space="preserve"> R</w:t>
      </w:r>
      <w:r w:rsidR="00AE0638" w:rsidRPr="00306F0F">
        <w:rPr>
          <w:lang w:val="es-ES"/>
        </w:rPr>
        <w:t>.</w:t>
      </w:r>
      <w:r w:rsidR="00695818" w:rsidRPr="00306F0F">
        <w:rPr>
          <w:lang w:val="es-ES"/>
        </w:rPr>
        <w:t xml:space="preserve">  </w:t>
      </w:r>
      <w:r w:rsidR="00AE0638" w:rsidRPr="00980644">
        <w:t xml:space="preserve">Synthetic Prodiginine Obatoclax (GX15-070) and Related Analogues: Anion Binding, Transmembrane Transport, and Cytotoxicity Properties. </w:t>
      </w:r>
      <w:r w:rsidR="00695818" w:rsidRPr="00980644">
        <w:t xml:space="preserve">Chem Eur J. </w:t>
      </w:r>
      <w:r w:rsidR="00695818" w:rsidRPr="00980644">
        <w:rPr>
          <w:b/>
          <w:bCs/>
        </w:rPr>
        <w:t>2011</w:t>
      </w:r>
      <w:r w:rsidR="00484ACF" w:rsidRPr="00980644">
        <w:t>;</w:t>
      </w:r>
      <w:r w:rsidR="00695818" w:rsidRPr="00980644">
        <w:t>17</w:t>
      </w:r>
      <w:r w:rsidR="00484ACF" w:rsidRPr="00980644">
        <w:t>:</w:t>
      </w:r>
      <w:r w:rsidR="00695818" w:rsidRPr="00980644">
        <w:t>14074–14083 DOI: 10.1002/chem.201101547</w:t>
      </w:r>
    </w:p>
    <w:p w14:paraId="6A1BB0E3" w14:textId="43FD1621" w:rsidR="00F80768" w:rsidRPr="00980644" w:rsidRDefault="00F80768" w:rsidP="004D16CA">
      <w:pPr>
        <w:pStyle w:val="References"/>
        <w:jc w:val="both"/>
      </w:pPr>
      <w:r w:rsidRPr="00980644">
        <w:t>[33]</w:t>
      </w:r>
      <w:r w:rsidR="00AE0638" w:rsidRPr="00980644">
        <w:t xml:space="preserve">  </w:t>
      </w:r>
      <w:r w:rsidR="00B145A2" w:rsidRPr="00980644">
        <w:t xml:space="preserve"> </w:t>
      </w:r>
      <w:r w:rsidR="000440B9" w:rsidRPr="00980644">
        <w:t xml:space="preserve"> </w:t>
      </w:r>
      <w:r w:rsidR="00894AE7" w:rsidRPr="00980644">
        <w:tab/>
      </w:r>
      <w:r w:rsidR="001E1D3E" w:rsidRPr="00980644">
        <w:t>Knight</w:t>
      </w:r>
      <w:r w:rsidR="00484ACF" w:rsidRPr="00980644">
        <w:t xml:space="preserve"> NJ,</w:t>
      </w:r>
      <w:r w:rsidR="001E1D3E" w:rsidRPr="00980644">
        <w:t xml:space="preserve"> Hernando</w:t>
      </w:r>
      <w:r w:rsidR="00484ACF" w:rsidRPr="00980644">
        <w:t xml:space="preserve"> E,</w:t>
      </w:r>
      <w:r w:rsidR="001E1D3E" w:rsidRPr="00980644">
        <w:t xml:space="preserve"> Haynes</w:t>
      </w:r>
      <w:r w:rsidR="00484ACF" w:rsidRPr="00980644">
        <w:t xml:space="preserve"> CJE,</w:t>
      </w:r>
      <w:r w:rsidR="001E1D3E" w:rsidRPr="00980644">
        <w:t xml:space="preserve"> </w:t>
      </w:r>
      <w:proofErr w:type="spellStart"/>
      <w:r w:rsidR="001E1D3E" w:rsidRPr="00980644">
        <w:t>Buschaert</w:t>
      </w:r>
      <w:proofErr w:type="spellEnd"/>
      <w:r w:rsidR="00484ACF" w:rsidRPr="00980644">
        <w:t xml:space="preserve"> N,</w:t>
      </w:r>
      <w:r w:rsidR="001E1D3E" w:rsidRPr="00980644">
        <w:t xml:space="preserve"> Clarke</w:t>
      </w:r>
      <w:r w:rsidR="00484ACF" w:rsidRPr="00980644">
        <w:t xml:space="preserve"> HJ,</w:t>
      </w:r>
      <w:r w:rsidR="001E1D3E" w:rsidRPr="00980644">
        <w:t xml:space="preserve"> </w:t>
      </w:r>
      <w:proofErr w:type="spellStart"/>
      <w:r w:rsidR="001E1D3E" w:rsidRPr="00980644">
        <w:t>Takimoto</w:t>
      </w:r>
      <w:proofErr w:type="spellEnd"/>
      <w:r w:rsidR="00484ACF" w:rsidRPr="00980644">
        <w:t xml:space="preserve"> K,</w:t>
      </w:r>
      <w:r w:rsidR="001E1D3E" w:rsidRPr="00980644">
        <w:t xml:space="preserve"> García-Valverde</w:t>
      </w:r>
      <w:r w:rsidR="00484ACF" w:rsidRPr="00980644">
        <w:t xml:space="preserve"> M,</w:t>
      </w:r>
      <w:r w:rsidR="001E1D3E" w:rsidRPr="00980644">
        <w:t xml:space="preserve"> Frey</w:t>
      </w:r>
      <w:r w:rsidR="00484ACF" w:rsidRPr="00980644">
        <w:t xml:space="preserve"> JG,</w:t>
      </w:r>
      <w:r w:rsidR="001E1D3E" w:rsidRPr="00980644">
        <w:t xml:space="preserve"> Quesada</w:t>
      </w:r>
      <w:r w:rsidR="00484ACF" w:rsidRPr="00980644">
        <w:t xml:space="preserve"> R,</w:t>
      </w:r>
      <w:r w:rsidR="001E1D3E" w:rsidRPr="00980644">
        <w:t xml:space="preserve"> Gale</w:t>
      </w:r>
      <w:r w:rsidR="00484ACF" w:rsidRPr="00980644">
        <w:t xml:space="preserve"> PA</w:t>
      </w:r>
      <w:r w:rsidR="001E1D3E" w:rsidRPr="00980644">
        <w:t xml:space="preserve">.  </w:t>
      </w:r>
      <w:r w:rsidR="00AE0638" w:rsidRPr="00980644">
        <w:t xml:space="preserve">QSAR analysis of substituent effects on tambjamine anion transporters. Chem Sci. </w:t>
      </w:r>
      <w:r w:rsidR="00AE0638" w:rsidRPr="00980644">
        <w:rPr>
          <w:b/>
          <w:bCs/>
        </w:rPr>
        <w:t>2016</w:t>
      </w:r>
      <w:r w:rsidR="00484ACF" w:rsidRPr="00980644">
        <w:rPr>
          <w:b/>
          <w:bCs/>
        </w:rPr>
        <w:t>;</w:t>
      </w:r>
      <w:r w:rsidR="00AE0638" w:rsidRPr="00980644">
        <w:t>7</w:t>
      </w:r>
      <w:r w:rsidR="00484ACF" w:rsidRPr="00980644">
        <w:t>:</w:t>
      </w:r>
      <w:r w:rsidR="00AE0638" w:rsidRPr="00980644">
        <w:t>1600–1608</w:t>
      </w:r>
      <w:r w:rsidR="00484ACF" w:rsidRPr="00980644">
        <w:t>.</w:t>
      </w:r>
      <w:r w:rsidR="00AE0638" w:rsidRPr="00980644">
        <w:t xml:space="preserve"> DOI: 10.1039/c5sc03932k</w:t>
      </w:r>
    </w:p>
    <w:sectPr w:rsidR="00F80768" w:rsidRPr="00980644" w:rsidSect="00074B81">
      <w:headerReference w:type="even" r:id="rId14"/>
      <w:headerReference w:type="default" r:id="rId15"/>
      <w:footerReference w:type="even" r:id="rId16"/>
      <w:footerReference w:type="default" r:id="rId17"/>
      <w:headerReference w:type="first" r:id="rId18"/>
      <w:footerReference w:type="first" r:id="rId19"/>
      <w:pgSz w:w="11901" w:h="16840" w:code="9"/>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F9FC" w16cex:dateUtc="2022-05-25T16:54:00Z"/>
  <w16cex:commentExtensible w16cex:durableId="2638FA1A" w16cex:dateUtc="2022-05-25T16:55:00Z"/>
  <w16cex:commentExtensible w16cex:durableId="263782FD" w16cex:dateUtc="2022-05-24T14:14:00Z"/>
  <w16cex:commentExtensible w16cex:durableId="2638C98E" w16cex:dateUtc="2022-05-25T13:28:00Z"/>
  <w16cex:commentExtensible w16cex:durableId="2638FBD9" w16cex:dateUtc="2022-05-25T17:02:00Z"/>
  <w16cex:commentExtensible w16cex:durableId="2638A67E" w16cex:dateUtc="2022-05-25T10:58:00Z"/>
  <w16cex:commentExtensible w16cex:durableId="2638FCF3" w16cex:dateUtc="2022-05-25T17:07:00Z"/>
  <w16cex:commentExtensible w16cex:durableId="2638FD5D" w16cex:dateUtc="2022-05-25T17:09:00Z"/>
  <w16cex:commentExtensible w16cex:durableId="263740C7" w16cex:dateUtc="2022-05-24T09:32:00Z"/>
  <w16cex:commentExtensible w16cex:durableId="2638A7BB" w16cex:dateUtc="2022-05-25T11:03:00Z"/>
  <w16cex:commentExtensible w16cex:durableId="26378DFC" w16cex:dateUtc="2022-05-24T15:01:00Z"/>
  <w16cex:commentExtensible w16cex:durableId="26389EB1" w16cex:dateUtc="2022-05-25T10:25:00Z"/>
  <w16cex:commentExtensible w16cex:durableId="26378268" w16cex:dateUtc="2022-05-24T14:12:00Z"/>
  <w16cex:commentExtensible w16cex:durableId="2638A0E3" w16cex:dateUtc="2022-05-25T1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8DB37" w14:textId="77777777" w:rsidR="007566DD" w:rsidRDefault="007566DD" w:rsidP="00AF2C92">
      <w:r>
        <w:separator/>
      </w:r>
    </w:p>
  </w:endnote>
  <w:endnote w:type="continuationSeparator" w:id="0">
    <w:p w14:paraId="62681BA3" w14:textId="77777777" w:rsidR="007566DD" w:rsidRDefault="007566D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2748" w14:textId="77777777" w:rsidR="00270EA3" w:rsidRDefault="00270E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C6B9" w14:textId="77777777" w:rsidR="00270EA3" w:rsidRDefault="00270E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0E71" w14:textId="77777777" w:rsidR="00270EA3" w:rsidRDefault="00270E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4755" w14:textId="77777777" w:rsidR="007566DD" w:rsidRDefault="007566DD" w:rsidP="00AF2C92">
      <w:r>
        <w:separator/>
      </w:r>
    </w:p>
  </w:footnote>
  <w:footnote w:type="continuationSeparator" w:id="0">
    <w:p w14:paraId="1C47E5DC" w14:textId="77777777" w:rsidR="007566DD" w:rsidRDefault="007566DD"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A644" w14:textId="77777777" w:rsidR="00270EA3" w:rsidRDefault="00270E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ABCE" w14:textId="77777777" w:rsidR="00270EA3" w:rsidRDefault="00270E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59C0" w14:textId="77777777" w:rsidR="00270EA3" w:rsidRDefault="00270E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3F7955"/>
    <w:multiLevelType w:val="hybridMultilevel"/>
    <w:tmpl w:val="3574FD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A66A66"/>
    <w:multiLevelType w:val="hybridMultilevel"/>
    <w:tmpl w:val="5558902A"/>
    <w:lvl w:ilvl="0" w:tplc="81D67860">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4710FD"/>
    <w:multiLevelType w:val="hybridMultilevel"/>
    <w:tmpl w:val="188C3A6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774918"/>
    <w:multiLevelType w:val="hybridMultilevel"/>
    <w:tmpl w:val="EA00B63E"/>
    <w:lvl w:ilvl="0" w:tplc="F58CB27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8B3D08"/>
    <w:multiLevelType w:val="hybridMultilevel"/>
    <w:tmpl w:val="4AA2B9A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86129F"/>
    <w:multiLevelType w:val="hybridMultilevel"/>
    <w:tmpl w:val="BB2E525E"/>
    <w:lvl w:ilvl="0" w:tplc="49ACE43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71168"/>
    <w:multiLevelType w:val="hybridMultilevel"/>
    <w:tmpl w:val="852EB73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6"/>
  </w:num>
  <w:num w:numId="15">
    <w:abstractNumId w:val="16"/>
  </w:num>
  <w:num w:numId="16">
    <w:abstractNumId w:val="19"/>
  </w:num>
  <w:num w:numId="17">
    <w:abstractNumId w:val="11"/>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0"/>
  </w:num>
  <w:num w:numId="25">
    <w:abstractNumId w:val="21"/>
  </w:num>
  <w:num w:numId="26">
    <w:abstractNumId w:val="27"/>
  </w:num>
  <w:num w:numId="27">
    <w:abstractNumId w:val="28"/>
  </w:num>
  <w:num w:numId="28">
    <w:abstractNumId w:val="26"/>
  </w:num>
  <w:num w:numId="29">
    <w:abstractNumId w:val="15"/>
  </w:num>
  <w:num w:numId="30">
    <w:abstractNumId w:val="30"/>
  </w:num>
  <w:num w:numId="31">
    <w:abstractNumId w:val="23"/>
  </w:num>
  <w:num w:numId="32">
    <w:abstractNumId w:val="24"/>
  </w:num>
  <w:num w:numId="33">
    <w:abstractNumId w:val="17"/>
  </w:num>
  <w:num w:numId="34">
    <w:abstractNumId w:val="12"/>
  </w:num>
  <w:num w:numId="35">
    <w:abstractNumId w:val="22"/>
  </w:num>
  <w:num w:numId="36">
    <w:abstractNumId w:val="1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11"/>
    <w:rsid w:val="00001899"/>
    <w:rsid w:val="00003D61"/>
    <w:rsid w:val="000049AD"/>
    <w:rsid w:val="0000681B"/>
    <w:rsid w:val="0000703E"/>
    <w:rsid w:val="000133C0"/>
    <w:rsid w:val="00014C4E"/>
    <w:rsid w:val="000160D7"/>
    <w:rsid w:val="00017107"/>
    <w:rsid w:val="000202E2"/>
    <w:rsid w:val="00022441"/>
    <w:rsid w:val="0002261E"/>
    <w:rsid w:val="00024839"/>
    <w:rsid w:val="00026871"/>
    <w:rsid w:val="00037A98"/>
    <w:rsid w:val="000427FB"/>
    <w:rsid w:val="000440B9"/>
    <w:rsid w:val="0004455E"/>
    <w:rsid w:val="000452BF"/>
    <w:rsid w:val="00045D7F"/>
    <w:rsid w:val="00047CB5"/>
    <w:rsid w:val="00051FAA"/>
    <w:rsid w:val="000572A9"/>
    <w:rsid w:val="00061325"/>
    <w:rsid w:val="00061E1B"/>
    <w:rsid w:val="000733AC"/>
    <w:rsid w:val="00074B81"/>
    <w:rsid w:val="00074BF9"/>
    <w:rsid w:val="00074D22"/>
    <w:rsid w:val="00075081"/>
    <w:rsid w:val="0007528A"/>
    <w:rsid w:val="000811AB"/>
    <w:rsid w:val="00083C5F"/>
    <w:rsid w:val="0009172C"/>
    <w:rsid w:val="00092155"/>
    <w:rsid w:val="000930EC"/>
    <w:rsid w:val="00095E61"/>
    <w:rsid w:val="000966C1"/>
    <w:rsid w:val="000970AC"/>
    <w:rsid w:val="000A1167"/>
    <w:rsid w:val="000A4428"/>
    <w:rsid w:val="000A469F"/>
    <w:rsid w:val="000A6D40"/>
    <w:rsid w:val="000A7BC3"/>
    <w:rsid w:val="000B1661"/>
    <w:rsid w:val="000B1F0B"/>
    <w:rsid w:val="000B2E88"/>
    <w:rsid w:val="000B4603"/>
    <w:rsid w:val="000C0269"/>
    <w:rsid w:val="000C09BE"/>
    <w:rsid w:val="000C1380"/>
    <w:rsid w:val="000C554F"/>
    <w:rsid w:val="000C7A41"/>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1621D"/>
    <w:rsid w:val="00117667"/>
    <w:rsid w:val="0013460E"/>
    <w:rsid w:val="00134A51"/>
    <w:rsid w:val="00135D1E"/>
    <w:rsid w:val="00140727"/>
    <w:rsid w:val="001557CF"/>
    <w:rsid w:val="00160628"/>
    <w:rsid w:val="00161344"/>
    <w:rsid w:val="00162195"/>
    <w:rsid w:val="0016322A"/>
    <w:rsid w:val="00165A21"/>
    <w:rsid w:val="001705CE"/>
    <w:rsid w:val="0017714B"/>
    <w:rsid w:val="001804DF"/>
    <w:rsid w:val="00180BC0"/>
    <w:rsid w:val="00181BDC"/>
    <w:rsid w:val="00181DB0"/>
    <w:rsid w:val="001829E3"/>
    <w:rsid w:val="001924C0"/>
    <w:rsid w:val="00195AF2"/>
    <w:rsid w:val="0019731E"/>
    <w:rsid w:val="001977DF"/>
    <w:rsid w:val="001A09FE"/>
    <w:rsid w:val="001A17D7"/>
    <w:rsid w:val="001A67C9"/>
    <w:rsid w:val="001A69DE"/>
    <w:rsid w:val="001A713C"/>
    <w:rsid w:val="001A7987"/>
    <w:rsid w:val="001B1C7C"/>
    <w:rsid w:val="001B398F"/>
    <w:rsid w:val="001B46C6"/>
    <w:rsid w:val="001B4B48"/>
    <w:rsid w:val="001B4D1F"/>
    <w:rsid w:val="001B7681"/>
    <w:rsid w:val="001B7CAE"/>
    <w:rsid w:val="001C0772"/>
    <w:rsid w:val="001C0D4F"/>
    <w:rsid w:val="001C1BA3"/>
    <w:rsid w:val="001C1DEC"/>
    <w:rsid w:val="001C2FE0"/>
    <w:rsid w:val="001C3CFB"/>
    <w:rsid w:val="001C5736"/>
    <w:rsid w:val="001D32FE"/>
    <w:rsid w:val="001D647F"/>
    <w:rsid w:val="001D6857"/>
    <w:rsid w:val="001E0572"/>
    <w:rsid w:val="001E0A67"/>
    <w:rsid w:val="001E1028"/>
    <w:rsid w:val="001E14E2"/>
    <w:rsid w:val="001E1D3E"/>
    <w:rsid w:val="001E1F38"/>
    <w:rsid w:val="001E6302"/>
    <w:rsid w:val="001E7DCB"/>
    <w:rsid w:val="001F17B6"/>
    <w:rsid w:val="001F3411"/>
    <w:rsid w:val="001F4287"/>
    <w:rsid w:val="001F4DBA"/>
    <w:rsid w:val="0020095D"/>
    <w:rsid w:val="0020415E"/>
    <w:rsid w:val="00204FF4"/>
    <w:rsid w:val="0021056E"/>
    <w:rsid w:val="0021075D"/>
    <w:rsid w:val="0021165A"/>
    <w:rsid w:val="00211BC9"/>
    <w:rsid w:val="0021418F"/>
    <w:rsid w:val="0021620C"/>
    <w:rsid w:val="00216E78"/>
    <w:rsid w:val="00217275"/>
    <w:rsid w:val="002211DD"/>
    <w:rsid w:val="00221C7D"/>
    <w:rsid w:val="002325EA"/>
    <w:rsid w:val="00236F4B"/>
    <w:rsid w:val="0024066E"/>
    <w:rsid w:val="00242B0D"/>
    <w:rsid w:val="0024575D"/>
    <w:rsid w:val="002467C6"/>
    <w:rsid w:val="0024692A"/>
    <w:rsid w:val="00252BBA"/>
    <w:rsid w:val="00253123"/>
    <w:rsid w:val="00254664"/>
    <w:rsid w:val="00260C3F"/>
    <w:rsid w:val="00264001"/>
    <w:rsid w:val="00266354"/>
    <w:rsid w:val="00267A18"/>
    <w:rsid w:val="00270EA3"/>
    <w:rsid w:val="00273462"/>
    <w:rsid w:val="0027395B"/>
    <w:rsid w:val="00274408"/>
    <w:rsid w:val="00275854"/>
    <w:rsid w:val="00282311"/>
    <w:rsid w:val="00283B41"/>
    <w:rsid w:val="00285F28"/>
    <w:rsid w:val="002862FA"/>
    <w:rsid w:val="00286398"/>
    <w:rsid w:val="002A3C42"/>
    <w:rsid w:val="002A4B64"/>
    <w:rsid w:val="002A5D75"/>
    <w:rsid w:val="002B0428"/>
    <w:rsid w:val="002B1B1A"/>
    <w:rsid w:val="002B7228"/>
    <w:rsid w:val="002C16DB"/>
    <w:rsid w:val="002C23C2"/>
    <w:rsid w:val="002C2D06"/>
    <w:rsid w:val="002C53EE"/>
    <w:rsid w:val="002D24F7"/>
    <w:rsid w:val="002D2799"/>
    <w:rsid w:val="002D2CD7"/>
    <w:rsid w:val="002D4DDC"/>
    <w:rsid w:val="002D4F75"/>
    <w:rsid w:val="002D6493"/>
    <w:rsid w:val="002D7941"/>
    <w:rsid w:val="002D7AB6"/>
    <w:rsid w:val="002E06D0"/>
    <w:rsid w:val="002E3C27"/>
    <w:rsid w:val="002E403A"/>
    <w:rsid w:val="002E7F3A"/>
    <w:rsid w:val="002F4EDB"/>
    <w:rsid w:val="002F6054"/>
    <w:rsid w:val="002F757F"/>
    <w:rsid w:val="00306F0F"/>
    <w:rsid w:val="0030722B"/>
    <w:rsid w:val="00310E13"/>
    <w:rsid w:val="00311AB2"/>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3B38"/>
    <w:rsid w:val="003563D1"/>
    <w:rsid w:val="003565D4"/>
    <w:rsid w:val="003572AB"/>
    <w:rsid w:val="003607FB"/>
    <w:rsid w:val="00360FD5"/>
    <w:rsid w:val="0036340D"/>
    <w:rsid w:val="003634A5"/>
    <w:rsid w:val="00366868"/>
    <w:rsid w:val="00367506"/>
    <w:rsid w:val="00370085"/>
    <w:rsid w:val="003744A7"/>
    <w:rsid w:val="00376235"/>
    <w:rsid w:val="00381FB6"/>
    <w:rsid w:val="003836D3"/>
    <w:rsid w:val="00383A52"/>
    <w:rsid w:val="003866AE"/>
    <w:rsid w:val="00391652"/>
    <w:rsid w:val="0039507F"/>
    <w:rsid w:val="003A1260"/>
    <w:rsid w:val="003A295F"/>
    <w:rsid w:val="003A3BC3"/>
    <w:rsid w:val="003A41DD"/>
    <w:rsid w:val="003A4557"/>
    <w:rsid w:val="003A7033"/>
    <w:rsid w:val="003B4576"/>
    <w:rsid w:val="003B47FE"/>
    <w:rsid w:val="003B5673"/>
    <w:rsid w:val="003B6287"/>
    <w:rsid w:val="003B62C9"/>
    <w:rsid w:val="003C6DFD"/>
    <w:rsid w:val="003C7176"/>
    <w:rsid w:val="003D0929"/>
    <w:rsid w:val="003D09C0"/>
    <w:rsid w:val="003D415A"/>
    <w:rsid w:val="003D4729"/>
    <w:rsid w:val="003D67FB"/>
    <w:rsid w:val="003D7DD6"/>
    <w:rsid w:val="003E56E7"/>
    <w:rsid w:val="003E5AAF"/>
    <w:rsid w:val="003E600D"/>
    <w:rsid w:val="003E64DF"/>
    <w:rsid w:val="003E6A5D"/>
    <w:rsid w:val="003F193A"/>
    <w:rsid w:val="003F4207"/>
    <w:rsid w:val="003F5C46"/>
    <w:rsid w:val="003F64C9"/>
    <w:rsid w:val="003F6611"/>
    <w:rsid w:val="003F7CBB"/>
    <w:rsid w:val="003F7D34"/>
    <w:rsid w:val="00412C8E"/>
    <w:rsid w:val="00413DE0"/>
    <w:rsid w:val="0041518D"/>
    <w:rsid w:val="00420286"/>
    <w:rsid w:val="0042221D"/>
    <w:rsid w:val="00424DD3"/>
    <w:rsid w:val="004269C5"/>
    <w:rsid w:val="004339F8"/>
    <w:rsid w:val="00435939"/>
    <w:rsid w:val="00437CC7"/>
    <w:rsid w:val="00442B9C"/>
    <w:rsid w:val="00445EFA"/>
    <w:rsid w:val="0044738A"/>
    <w:rsid w:val="004473D3"/>
    <w:rsid w:val="00452231"/>
    <w:rsid w:val="00460C13"/>
    <w:rsid w:val="00463228"/>
    <w:rsid w:val="00463782"/>
    <w:rsid w:val="0046555A"/>
    <w:rsid w:val="004667E0"/>
    <w:rsid w:val="0046760E"/>
    <w:rsid w:val="00470E10"/>
    <w:rsid w:val="00474A38"/>
    <w:rsid w:val="00477A97"/>
    <w:rsid w:val="00481343"/>
    <w:rsid w:val="00484ACF"/>
    <w:rsid w:val="0048549E"/>
    <w:rsid w:val="00486932"/>
    <w:rsid w:val="00492917"/>
    <w:rsid w:val="004930C6"/>
    <w:rsid w:val="00493347"/>
    <w:rsid w:val="00495050"/>
    <w:rsid w:val="00496092"/>
    <w:rsid w:val="004A08DB"/>
    <w:rsid w:val="004A25D0"/>
    <w:rsid w:val="004A37E8"/>
    <w:rsid w:val="004A7549"/>
    <w:rsid w:val="004B09D4"/>
    <w:rsid w:val="004B309D"/>
    <w:rsid w:val="004B330A"/>
    <w:rsid w:val="004B3F30"/>
    <w:rsid w:val="004B67C7"/>
    <w:rsid w:val="004B7C8E"/>
    <w:rsid w:val="004C1530"/>
    <w:rsid w:val="004C3D3C"/>
    <w:rsid w:val="004D0EDC"/>
    <w:rsid w:val="004D1220"/>
    <w:rsid w:val="004D14B3"/>
    <w:rsid w:val="004D1529"/>
    <w:rsid w:val="004D16CA"/>
    <w:rsid w:val="004D2253"/>
    <w:rsid w:val="004D5514"/>
    <w:rsid w:val="004D56C3"/>
    <w:rsid w:val="004D6AB2"/>
    <w:rsid w:val="004E0338"/>
    <w:rsid w:val="004E066C"/>
    <w:rsid w:val="004E4FF3"/>
    <w:rsid w:val="004E56A8"/>
    <w:rsid w:val="004E671F"/>
    <w:rsid w:val="004F3B55"/>
    <w:rsid w:val="004F428E"/>
    <w:rsid w:val="004F4E46"/>
    <w:rsid w:val="004F6B7D"/>
    <w:rsid w:val="005015F6"/>
    <w:rsid w:val="005030C4"/>
    <w:rsid w:val="005031C5"/>
    <w:rsid w:val="00503F23"/>
    <w:rsid w:val="00504FDC"/>
    <w:rsid w:val="005051CF"/>
    <w:rsid w:val="00507032"/>
    <w:rsid w:val="005120CC"/>
    <w:rsid w:val="005124B6"/>
    <w:rsid w:val="00512B7B"/>
    <w:rsid w:val="00514EA1"/>
    <w:rsid w:val="0051798B"/>
    <w:rsid w:val="00521F5A"/>
    <w:rsid w:val="00525A14"/>
    <w:rsid w:val="00525E06"/>
    <w:rsid w:val="00526454"/>
    <w:rsid w:val="00531823"/>
    <w:rsid w:val="00534ECC"/>
    <w:rsid w:val="0053720D"/>
    <w:rsid w:val="00540EF5"/>
    <w:rsid w:val="00541BF3"/>
    <w:rsid w:val="00541CD3"/>
    <w:rsid w:val="005476FA"/>
    <w:rsid w:val="0055595E"/>
    <w:rsid w:val="00556390"/>
    <w:rsid w:val="00557988"/>
    <w:rsid w:val="00562C49"/>
    <w:rsid w:val="00562DEF"/>
    <w:rsid w:val="00562FCB"/>
    <w:rsid w:val="0056321A"/>
    <w:rsid w:val="00563A35"/>
    <w:rsid w:val="00566596"/>
    <w:rsid w:val="005741E9"/>
    <w:rsid w:val="005748CF"/>
    <w:rsid w:val="00584270"/>
    <w:rsid w:val="00584738"/>
    <w:rsid w:val="00586222"/>
    <w:rsid w:val="005909E1"/>
    <w:rsid w:val="00591F50"/>
    <w:rsid w:val="005920B0"/>
    <w:rsid w:val="0059380D"/>
    <w:rsid w:val="00593E80"/>
    <w:rsid w:val="00594963"/>
    <w:rsid w:val="00595A8F"/>
    <w:rsid w:val="00596ED1"/>
    <w:rsid w:val="005977C2"/>
    <w:rsid w:val="00597BF2"/>
    <w:rsid w:val="005A1246"/>
    <w:rsid w:val="005A1F54"/>
    <w:rsid w:val="005A3020"/>
    <w:rsid w:val="005A6E37"/>
    <w:rsid w:val="005A7DD8"/>
    <w:rsid w:val="005B134E"/>
    <w:rsid w:val="005B2039"/>
    <w:rsid w:val="005B2E8A"/>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4527"/>
    <w:rsid w:val="005E5B55"/>
    <w:rsid w:val="005E5E4A"/>
    <w:rsid w:val="005E693D"/>
    <w:rsid w:val="005E75BF"/>
    <w:rsid w:val="005F1FAC"/>
    <w:rsid w:val="005F2AD5"/>
    <w:rsid w:val="005F3C5A"/>
    <w:rsid w:val="005F57BA"/>
    <w:rsid w:val="005F61E6"/>
    <w:rsid w:val="005F6C45"/>
    <w:rsid w:val="005F7223"/>
    <w:rsid w:val="00605A69"/>
    <w:rsid w:val="00606C54"/>
    <w:rsid w:val="00614375"/>
    <w:rsid w:val="00615B0A"/>
    <w:rsid w:val="006168CF"/>
    <w:rsid w:val="00616B25"/>
    <w:rsid w:val="0062011B"/>
    <w:rsid w:val="006212DF"/>
    <w:rsid w:val="006252EE"/>
    <w:rsid w:val="00626DE0"/>
    <w:rsid w:val="00630901"/>
    <w:rsid w:val="00631F8E"/>
    <w:rsid w:val="0063629D"/>
    <w:rsid w:val="00636EE9"/>
    <w:rsid w:val="0063714D"/>
    <w:rsid w:val="00640950"/>
    <w:rsid w:val="00641AE7"/>
    <w:rsid w:val="00641F10"/>
    <w:rsid w:val="00642629"/>
    <w:rsid w:val="00642822"/>
    <w:rsid w:val="00645D31"/>
    <w:rsid w:val="0064782B"/>
    <w:rsid w:val="0065293D"/>
    <w:rsid w:val="00653EFC"/>
    <w:rsid w:val="00654021"/>
    <w:rsid w:val="00661045"/>
    <w:rsid w:val="00661C15"/>
    <w:rsid w:val="00665AE3"/>
    <w:rsid w:val="00666DA8"/>
    <w:rsid w:val="00671057"/>
    <w:rsid w:val="00675AAF"/>
    <w:rsid w:val="00676647"/>
    <w:rsid w:val="0068031A"/>
    <w:rsid w:val="00681B2F"/>
    <w:rsid w:val="0068335F"/>
    <w:rsid w:val="00687217"/>
    <w:rsid w:val="00693302"/>
    <w:rsid w:val="00695818"/>
    <w:rsid w:val="0069640B"/>
    <w:rsid w:val="006A1B83"/>
    <w:rsid w:val="006A21CD"/>
    <w:rsid w:val="006A3CF7"/>
    <w:rsid w:val="006A5918"/>
    <w:rsid w:val="006B21B2"/>
    <w:rsid w:val="006B3718"/>
    <w:rsid w:val="006B48CF"/>
    <w:rsid w:val="006B4A4A"/>
    <w:rsid w:val="006C19B2"/>
    <w:rsid w:val="006C4409"/>
    <w:rsid w:val="006C4B32"/>
    <w:rsid w:val="006C5BB8"/>
    <w:rsid w:val="006C6936"/>
    <w:rsid w:val="006C6E90"/>
    <w:rsid w:val="006C7B01"/>
    <w:rsid w:val="006D0FE8"/>
    <w:rsid w:val="006D443F"/>
    <w:rsid w:val="006D4B2B"/>
    <w:rsid w:val="006D4F3C"/>
    <w:rsid w:val="006D5C66"/>
    <w:rsid w:val="006D5FD5"/>
    <w:rsid w:val="006D7002"/>
    <w:rsid w:val="006E1B3C"/>
    <w:rsid w:val="006E23FB"/>
    <w:rsid w:val="006E325A"/>
    <w:rsid w:val="006E33EC"/>
    <w:rsid w:val="006E3802"/>
    <w:rsid w:val="006E6C02"/>
    <w:rsid w:val="006F0D30"/>
    <w:rsid w:val="006F231A"/>
    <w:rsid w:val="006F6B55"/>
    <w:rsid w:val="006F788D"/>
    <w:rsid w:val="006F78E1"/>
    <w:rsid w:val="00701072"/>
    <w:rsid w:val="00702054"/>
    <w:rsid w:val="007035A4"/>
    <w:rsid w:val="00711799"/>
    <w:rsid w:val="00712314"/>
    <w:rsid w:val="00712B78"/>
    <w:rsid w:val="0071393B"/>
    <w:rsid w:val="00713EE2"/>
    <w:rsid w:val="007177FC"/>
    <w:rsid w:val="00720C5E"/>
    <w:rsid w:val="00721701"/>
    <w:rsid w:val="007224BD"/>
    <w:rsid w:val="007250B8"/>
    <w:rsid w:val="007272F3"/>
    <w:rsid w:val="00731835"/>
    <w:rsid w:val="007333AE"/>
    <w:rsid w:val="007341F8"/>
    <w:rsid w:val="00734372"/>
    <w:rsid w:val="00734EB8"/>
    <w:rsid w:val="00735F8B"/>
    <w:rsid w:val="007373D8"/>
    <w:rsid w:val="0074090B"/>
    <w:rsid w:val="00742D1F"/>
    <w:rsid w:val="00743EBA"/>
    <w:rsid w:val="00744C8E"/>
    <w:rsid w:val="0074707E"/>
    <w:rsid w:val="007516DC"/>
    <w:rsid w:val="00752E58"/>
    <w:rsid w:val="00754B80"/>
    <w:rsid w:val="00755630"/>
    <w:rsid w:val="007566DD"/>
    <w:rsid w:val="00761918"/>
    <w:rsid w:val="00762F03"/>
    <w:rsid w:val="0076413B"/>
    <w:rsid w:val="007648AE"/>
    <w:rsid w:val="00764BF8"/>
    <w:rsid w:val="0076514D"/>
    <w:rsid w:val="0076579C"/>
    <w:rsid w:val="00771F8C"/>
    <w:rsid w:val="00773D59"/>
    <w:rsid w:val="0077661D"/>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08E"/>
    <w:rsid w:val="007C65AF"/>
    <w:rsid w:val="007D135D"/>
    <w:rsid w:val="007D2395"/>
    <w:rsid w:val="007D730F"/>
    <w:rsid w:val="007D7CD8"/>
    <w:rsid w:val="007E3AA7"/>
    <w:rsid w:val="007E47EF"/>
    <w:rsid w:val="007F737D"/>
    <w:rsid w:val="0080308E"/>
    <w:rsid w:val="00805303"/>
    <w:rsid w:val="00806705"/>
    <w:rsid w:val="00806738"/>
    <w:rsid w:val="00814C35"/>
    <w:rsid w:val="008150DE"/>
    <w:rsid w:val="008216D5"/>
    <w:rsid w:val="0082368A"/>
    <w:rsid w:val="008249CE"/>
    <w:rsid w:val="00831A50"/>
    <w:rsid w:val="00831B3C"/>
    <w:rsid w:val="00831C89"/>
    <w:rsid w:val="00832114"/>
    <w:rsid w:val="00834C46"/>
    <w:rsid w:val="00837605"/>
    <w:rsid w:val="00840889"/>
    <w:rsid w:val="0084093E"/>
    <w:rsid w:val="00841CE1"/>
    <w:rsid w:val="008473D8"/>
    <w:rsid w:val="00850F2A"/>
    <w:rsid w:val="00851EFE"/>
    <w:rsid w:val="008528DC"/>
    <w:rsid w:val="00852B8C"/>
    <w:rsid w:val="00854981"/>
    <w:rsid w:val="00861220"/>
    <w:rsid w:val="00864B2E"/>
    <w:rsid w:val="00865001"/>
    <w:rsid w:val="00865963"/>
    <w:rsid w:val="0086693E"/>
    <w:rsid w:val="00871764"/>
    <w:rsid w:val="00871C1D"/>
    <w:rsid w:val="0087450E"/>
    <w:rsid w:val="00875A82"/>
    <w:rsid w:val="00876CA3"/>
    <w:rsid w:val="008772FE"/>
    <w:rsid w:val="008775F1"/>
    <w:rsid w:val="00877EBB"/>
    <w:rsid w:val="008821AE"/>
    <w:rsid w:val="00882866"/>
    <w:rsid w:val="00883D3A"/>
    <w:rsid w:val="008854F7"/>
    <w:rsid w:val="00885A9D"/>
    <w:rsid w:val="008929D2"/>
    <w:rsid w:val="00893636"/>
    <w:rsid w:val="00893B94"/>
    <w:rsid w:val="008949C4"/>
    <w:rsid w:val="00894AE7"/>
    <w:rsid w:val="00896E9D"/>
    <w:rsid w:val="00896F11"/>
    <w:rsid w:val="008A1049"/>
    <w:rsid w:val="008A1C98"/>
    <w:rsid w:val="008A322D"/>
    <w:rsid w:val="008A4D72"/>
    <w:rsid w:val="008A6285"/>
    <w:rsid w:val="008A63B2"/>
    <w:rsid w:val="008A7771"/>
    <w:rsid w:val="008B345D"/>
    <w:rsid w:val="008C1FC2"/>
    <w:rsid w:val="008C2980"/>
    <w:rsid w:val="008C3D51"/>
    <w:rsid w:val="008C4DD6"/>
    <w:rsid w:val="008C5AFB"/>
    <w:rsid w:val="008D07FB"/>
    <w:rsid w:val="008D0C02"/>
    <w:rsid w:val="008D357D"/>
    <w:rsid w:val="008D435A"/>
    <w:rsid w:val="008E32B0"/>
    <w:rsid w:val="008E387B"/>
    <w:rsid w:val="008E6087"/>
    <w:rsid w:val="008E758D"/>
    <w:rsid w:val="008F10A7"/>
    <w:rsid w:val="008F755D"/>
    <w:rsid w:val="008F7A39"/>
    <w:rsid w:val="009021E8"/>
    <w:rsid w:val="00904677"/>
    <w:rsid w:val="00904A38"/>
    <w:rsid w:val="00905EE2"/>
    <w:rsid w:val="00911440"/>
    <w:rsid w:val="00911712"/>
    <w:rsid w:val="00911B27"/>
    <w:rsid w:val="009170BE"/>
    <w:rsid w:val="009175DA"/>
    <w:rsid w:val="00920B55"/>
    <w:rsid w:val="009262C9"/>
    <w:rsid w:val="00930EB9"/>
    <w:rsid w:val="00931C0F"/>
    <w:rsid w:val="00933DC7"/>
    <w:rsid w:val="009418F4"/>
    <w:rsid w:val="00942BBC"/>
    <w:rsid w:val="00944180"/>
    <w:rsid w:val="00944AA0"/>
    <w:rsid w:val="00946967"/>
    <w:rsid w:val="00947DA2"/>
    <w:rsid w:val="00951177"/>
    <w:rsid w:val="00952A45"/>
    <w:rsid w:val="00961D46"/>
    <w:rsid w:val="009673E8"/>
    <w:rsid w:val="00974DB8"/>
    <w:rsid w:val="009777EF"/>
    <w:rsid w:val="00980644"/>
    <w:rsid w:val="00980661"/>
    <w:rsid w:val="0098093B"/>
    <w:rsid w:val="00981EAE"/>
    <w:rsid w:val="00982AE2"/>
    <w:rsid w:val="00985FCA"/>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D5D4E"/>
    <w:rsid w:val="009E1FD4"/>
    <w:rsid w:val="009E2064"/>
    <w:rsid w:val="009E3B07"/>
    <w:rsid w:val="009E51D1"/>
    <w:rsid w:val="009E5531"/>
    <w:rsid w:val="009E6990"/>
    <w:rsid w:val="009F171E"/>
    <w:rsid w:val="009F3D2F"/>
    <w:rsid w:val="009F7052"/>
    <w:rsid w:val="00A02668"/>
    <w:rsid w:val="00A02801"/>
    <w:rsid w:val="00A06367"/>
    <w:rsid w:val="00A06A39"/>
    <w:rsid w:val="00A07F58"/>
    <w:rsid w:val="00A131CB"/>
    <w:rsid w:val="00A14847"/>
    <w:rsid w:val="00A16D6D"/>
    <w:rsid w:val="00A21062"/>
    <w:rsid w:val="00A21383"/>
    <w:rsid w:val="00A2199F"/>
    <w:rsid w:val="00A21B31"/>
    <w:rsid w:val="00A22D70"/>
    <w:rsid w:val="00A2360E"/>
    <w:rsid w:val="00A26E0C"/>
    <w:rsid w:val="00A32FCB"/>
    <w:rsid w:val="00A34C25"/>
    <w:rsid w:val="00A3507D"/>
    <w:rsid w:val="00A3717A"/>
    <w:rsid w:val="00A4088C"/>
    <w:rsid w:val="00A419E9"/>
    <w:rsid w:val="00A43E94"/>
    <w:rsid w:val="00A4456B"/>
    <w:rsid w:val="00A448D4"/>
    <w:rsid w:val="00A449BF"/>
    <w:rsid w:val="00A452E0"/>
    <w:rsid w:val="00A506DF"/>
    <w:rsid w:val="00A51EA5"/>
    <w:rsid w:val="00A53742"/>
    <w:rsid w:val="00A557A1"/>
    <w:rsid w:val="00A63059"/>
    <w:rsid w:val="00A63AE3"/>
    <w:rsid w:val="00A651A4"/>
    <w:rsid w:val="00A71361"/>
    <w:rsid w:val="00A746E2"/>
    <w:rsid w:val="00A80F1C"/>
    <w:rsid w:val="00A81FF2"/>
    <w:rsid w:val="00A83904"/>
    <w:rsid w:val="00A90A79"/>
    <w:rsid w:val="00A96B30"/>
    <w:rsid w:val="00AA442D"/>
    <w:rsid w:val="00AA538D"/>
    <w:rsid w:val="00AA56EE"/>
    <w:rsid w:val="00AA59B5"/>
    <w:rsid w:val="00AA6A2A"/>
    <w:rsid w:val="00AA7777"/>
    <w:rsid w:val="00AA7B84"/>
    <w:rsid w:val="00AB0849"/>
    <w:rsid w:val="00AC0B4C"/>
    <w:rsid w:val="00AC1164"/>
    <w:rsid w:val="00AC2296"/>
    <w:rsid w:val="00AC2754"/>
    <w:rsid w:val="00AC48B0"/>
    <w:rsid w:val="00AC4ACD"/>
    <w:rsid w:val="00AC5DFB"/>
    <w:rsid w:val="00AD13DC"/>
    <w:rsid w:val="00AD3AD5"/>
    <w:rsid w:val="00AD6DE2"/>
    <w:rsid w:val="00AE0638"/>
    <w:rsid w:val="00AE0851"/>
    <w:rsid w:val="00AE0A40"/>
    <w:rsid w:val="00AE1ED4"/>
    <w:rsid w:val="00AE21E1"/>
    <w:rsid w:val="00AE2F8D"/>
    <w:rsid w:val="00AE3BAE"/>
    <w:rsid w:val="00AE6A21"/>
    <w:rsid w:val="00AE6E69"/>
    <w:rsid w:val="00AF1C8F"/>
    <w:rsid w:val="00AF2B68"/>
    <w:rsid w:val="00AF2C92"/>
    <w:rsid w:val="00AF3EC1"/>
    <w:rsid w:val="00AF5025"/>
    <w:rsid w:val="00AF519F"/>
    <w:rsid w:val="00AF5387"/>
    <w:rsid w:val="00AF55F5"/>
    <w:rsid w:val="00AF6103"/>
    <w:rsid w:val="00AF7E86"/>
    <w:rsid w:val="00B009AC"/>
    <w:rsid w:val="00B024B9"/>
    <w:rsid w:val="00B032A7"/>
    <w:rsid w:val="00B077FA"/>
    <w:rsid w:val="00B120B6"/>
    <w:rsid w:val="00B127D7"/>
    <w:rsid w:val="00B13B0C"/>
    <w:rsid w:val="00B14408"/>
    <w:rsid w:val="00B1453A"/>
    <w:rsid w:val="00B145A2"/>
    <w:rsid w:val="00B20841"/>
    <w:rsid w:val="00B20C8B"/>
    <w:rsid w:val="00B20F82"/>
    <w:rsid w:val="00B22BCC"/>
    <w:rsid w:val="00B2338F"/>
    <w:rsid w:val="00B25BD5"/>
    <w:rsid w:val="00B27794"/>
    <w:rsid w:val="00B34079"/>
    <w:rsid w:val="00B3793A"/>
    <w:rsid w:val="00B401BA"/>
    <w:rsid w:val="00B407E4"/>
    <w:rsid w:val="00B425B6"/>
    <w:rsid w:val="00B42A72"/>
    <w:rsid w:val="00B42D53"/>
    <w:rsid w:val="00B441AE"/>
    <w:rsid w:val="00B45A65"/>
    <w:rsid w:val="00B45F33"/>
    <w:rsid w:val="00B46D50"/>
    <w:rsid w:val="00B519F5"/>
    <w:rsid w:val="00B53170"/>
    <w:rsid w:val="00B548B9"/>
    <w:rsid w:val="00B56DBE"/>
    <w:rsid w:val="00B62999"/>
    <w:rsid w:val="00B63BE3"/>
    <w:rsid w:val="00B64885"/>
    <w:rsid w:val="00B64FA3"/>
    <w:rsid w:val="00B66810"/>
    <w:rsid w:val="00B67F6F"/>
    <w:rsid w:val="00B70D34"/>
    <w:rsid w:val="00B72BE3"/>
    <w:rsid w:val="00B73B80"/>
    <w:rsid w:val="00B770C7"/>
    <w:rsid w:val="00B80F26"/>
    <w:rsid w:val="00B81C10"/>
    <w:rsid w:val="00B822BD"/>
    <w:rsid w:val="00B8384C"/>
    <w:rsid w:val="00B842F4"/>
    <w:rsid w:val="00B90636"/>
    <w:rsid w:val="00B91A7B"/>
    <w:rsid w:val="00B929DD"/>
    <w:rsid w:val="00B939A8"/>
    <w:rsid w:val="00B93AF6"/>
    <w:rsid w:val="00B95405"/>
    <w:rsid w:val="00B963F1"/>
    <w:rsid w:val="00BA020A"/>
    <w:rsid w:val="00BA478A"/>
    <w:rsid w:val="00BA67F7"/>
    <w:rsid w:val="00BB025A"/>
    <w:rsid w:val="00BB02A4"/>
    <w:rsid w:val="00BB1270"/>
    <w:rsid w:val="00BB1E44"/>
    <w:rsid w:val="00BB2CDC"/>
    <w:rsid w:val="00BB39F7"/>
    <w:rsid w:val="00BB5267"/>
    <w:rsid w:val="00BB52B8"/>
    <w:rsid w:val="00BB59D8"/>
    <w:rsid w:val="00BB7E69"/>
    <w:rsid w:val="00BC018E"/>
    <w:rsid w:val="00BC0E51"/>
    <w:rsid w:val="00BC3C1F"/>
    <w:rsid w:val="00BC4264"/>
    <w:rsid w:val="00BC62CC"/>
    <w:rsid w:val="00BC7CE7"/>
    <w:rsid w:val="00BD295E"/>
    <w:rsid w:val="00BD4664"/>
    <w:rsid w:val="00BE1193"/>
    <w:rsid w:val="00BE159A"/>
    <w:rsid w:val="00BE420C"/>
    <w:rsid w:val="00BE7119"/>
    <w:rsid w:val="00BF3654"/>
    <w:rsid w:val="00BF4849"/>
    <w:rsid w:val="00BF4EA7"/>
    <w:rsid w:val="00BF6525"/>
    <w:rsid w:val="00BF7DAD"/>
    <w:rsid w:val="00C00EDB"/>
    <w:rsid w:val="00C02863"/>
    <w:rsid w:val="00C0383A"/>
    <w:rsid w:val="00C067FF"/>
    <w:rsid w:val="00C0720E"/>
    <w:rsid w:val="00C11891"/>
    <w:rsid w:val="00C12862"/>
    <w:rsid w:val="00C13D28"/>
    <w:rsid w:val="00C14585"/>
    <w:rsid w:val="00C165A0"/>
    <w:rsid w:val="00C20F9D"/>
    <w:rsid w:val="00C216CE"/>
    <w:rsid w:val="00C2184F"/>
    <w:rsid w:val="00C21B5E"/>
    <w:rsid w:val="00C22A78"/>
    <w:rsid w:val="00C23C7E"/>
    <w:rsid w:val="00C246C5"/>
    <w:rsid w:val="00C25A82"/>
    <w:rsid w:val="00C30A2A"/>
    <w:rsid w:val="00C33993"/>
    <w:rsid w:val="00C4069E"/>
    <w:rsid w:val="00C41ADC"/>
    <w:rsid w:val="00C43871"/>
    <w:rsid w:val="00C44149"/>
    <w:rsid w:val="00C44410"/>
    <w:rsid w:val="00C44A15"/>
    <w:rsid w:val="00C4630A"/>
    <w:rsid w:val="00C523F0"/>
    <w:rsid w:val="00C526D2"/>
    <w:rsid w:val="00C53A91"/>
    <w:rsid w:val="00C55120"/>
    <w:rsid w:val="00C5794E"/>
    <w:rsid w:val="00C60968"/>
    <w:rsid w:val="00C63D39"/>
    <w:rsid w:val="00C63EDD"/>
    <w:rsid w:val="00C65B36"/>
    <w:rsid w:val="00C66D88"/>
    <w:rsid w:val="00C7292E"/>
    <w:rsid w:val="00C74E88"/>
    <w:rsid w:val="00C76A67"/>
    <w:rsid w:val="00C80924"/>
    <w:rsid w:val="00C8286B"/>
    <w:rsid w:val="00C8606D"/>
    <w:rsid w:val="00C947F8"/>
    <w:rsid w:val="00C9515F"/>
    <w:rsid w:val="00C955E8"/>
    <w:rsid w:val="00C963C5"/>
    <w:rsid w:val="00CA030C"/>
    <w:rsid w:val="00CA0885"/>
    <w:rsid w:val="00CA1F41"/>
    <w:rsid w:val="00CA32EE"/>
    <w:rsid w:val="00CA5771"/>
    <w:rsid w:val="00CA6A1A"/>
    <w:rsid w:val="00CB32A1"/>
    <w:rsid w:val="00CB4240"/>
    <w:rsid w:val="00CC1E75"/>
    <w:rsid w:val="00CC2E0E"/>
    <w:rsid w:val="00CC361C"/>
    <w:rsid w:val="00CC474B"/>
    <w:rsid w:val="00CC55C7"/>
    <w:rsid w:val="00CC57C8"/>
    <w:rsid w:val="00CC658C"/>
    <w:rsid w:val="00CC67BF"/>
    <w:rsid w:val="00CD0843"/>
    <w:rsid w:val="00CD0B7B"/>
    <w:rsid w:val="00CD1167"/>
    <w:rsid w:val="00CD1D91"/>
    <w:rsid w:val="00CD4E31"/>
    <w:rsid w:val="00CD5A78"/>
    <w:rsid w:val="00CD64C6"/>
    <w:rsid w:val="00CD6D98"/>
    <w:rsid w:val="00CD7345"/>
    <w:rsid w:val="00CE372E"/>
    <w:rsid w:val="00CE4BD4"/>
    <w:rsid w:val="00CF0A1B"/>
    <w:rsid w:val="00CF19F6"/>
    <w:rsid w:val="00CF2F4F"/>
    <w:rsid w:val="00CF33B4"/>
    <w:rsid w:val="00CF536D"/>
    <w:rsid w:val="00D02E9D"/>
    <w:rsid w:val="00D10CB8"/>
    <w:rsid w:val="00D12806"/>
    <w:rsid w:val="00D12BED"/>
    <w:rsid w:val="00D12D44"/>
    <w:rsid w:val="00D14AED"/>
    <w:rsid w:val="00D15018"/>
    <w:rsid w:val="00D158AC"/>
    <w:rsid w:val="00D1694C"/>
    <w:rsid w:val="00D20F5E"/>
    <w:rsid w:val="00D2214F"/>
    <w:rsid w:val="00D230AB"/>
    <w:rsid w:val="00D23B76"/>
    <w:rsid w:val="00D24B4A"/>
    <w:rsid w:val="00D379A3"/>
    <w:rsid w:val="00D45FF3"/>
    <w:rsid w:val="00D512CF"/>
    <w:rsid w:val="00D528B9"/>
    <w:rsid w:val="00D53186"/>
    <w:rsid w:val="00D5487D"/>
    <w:rsid w:val="00D5592A"/>
    <w:rsid w:val="00D56B02"/>
    <w:rsid w:val="00D60140"/>
    <w:rsid w:val="00D6024A"/>
    <w:rsid w:val="00D608B5"/>
    <w:rsid w:val="00D64739"/>
    <w:rsid w:val="00D65DBC"/>
    <w:rsid w:val="00D71F99"/>
    <w:rsid w:val="00D73CA4"/>
    <w:rsid w:val="00D73D71"/>
    <w:rsid w:val="00D74396"/>
    <w:rsid w:val="00D80284"/>
    <w:rsid w:val="00D81F71"/>
    <w:rsid w:val="00D8642D"/>
    <w:rsid w:val="00D90A5E"/>
    <w:rsid w:val="00D91A68"/>
    <w:rsid w:val="00D91C69"/>
    <w:rsid w:val="00D95A68"/>
    <w:rsid w:val="00DA17C7"/>
    <w:rsid w:val="00DA6A9A"/>
    <w:rsid w:val="00DB1EFD"/>
    <w:rsid w:val="00DB3EAF"/>
    <w:rsid w:val="00DB46C6"/>
    <w:rsid w:val="00DC0276"/>
    <w:rsid w:val="00DC1FD5"/>
    <w:rsid w:val="00DC3203"/>
    <w:rsid w:val="00DC3C99"/>
    <w:rsid w:val="00DC52F5"/>
    <w:rsid w:val="00DC5FD0"/>
    <w:rsid w:val="00DD0354"/>
    <w:rsid w:val="00DD27D7"/>
    <w:rsid w:val="00DD458C"/>
    <w:rsid w:val="00DD72E9"/>
    <w:rsid w:val="00DD7605"/>
    <w:rsid w:val="00DD7819"/>
    <w:rsid w:val="00DE2020"/>
    <w:rsid w:val="00DE3476"/>
    <w:rsid w:val="00DE53AC"/>
    <w:rsid w:val="00DE7BEA"/>
    <w:rsid w:val="00DF5B84"/>
    <w:rsid w:val="00DF6D5B"/>
    <w:rsid w:val="00DF771B"/>
    <w:rsid w:val="00DF7CEB"/>
    <w:rsid w:val="00DF7EE2"/>
    <w:rsid w:val="00E00A85"/>
    <w:rsid w:val="00E01BAA"/>
    <w:rsid w:val="00E0282A"/>
    <w:rsid w:val="00E02F9B"/>
    <w:rsid w:val="00E07E14"/>
    <w:rsid w:val="00E1148D"/>
    <w:rsid w:val="00E13918"/>
    <w:rsid w:val="00E14F94"/>
    <w:rsid w:val="00E17336"/>
    <w:rsid w:val="00E17D15"/>
    <w:rsid w:val="00E22B95"/>
    <w:rsid w:val="00E25D75"/>
    <w:rsid w:val="00E30331"/>
    <w:rsid w:val="00E30BB8"/>
    <w:rsid w:val="00E31573"/>
    <w:rsid w:val="00E31F9C"/>
    <w:rsid w:val="00E35815"/>
    <w:rsid w:val="00E40488"/>
    <w:rsid w:val="00E44F7E"/>
    <w:rsid w:val="00E45E27"/>
    <w:rsid w:val="00E50367"/>
    <w:rsid w:val="00E51ABA"/>
    <w:rsid w:val="00E524CB"/>
    <w:rsid w:val="00E544DB"/>
    <w:rsid w:val="00E637C2"/>
    <w:rsid w:val="00E65456"/>
    <w:rsid w:val="00E65A91"/>
    <w:rsid w:val="00E66188"/>
    <w:rsid w:val="00E664FB"/>
    <w:rsid w:val="00E672F0"/>
    <w:rsid w:val="00E70373"/>
    <w:rsid w:val="00E71CDE"/>
    <w:rsid w:val="00E72E40"/>
    <w:rsid w:val="00E73665"/>
    <w:rsid w:val="00E73999"/>
    <w:rsid w:val="00E73BDC"/>
    <w:rsid w:val="00E73E9E"/>
    <w:rsid w:val="00E81660"/>
    <w:rsid w:val="00E824B5"/>
    <w:rsid w:val="00E854FE"/>
    <w:rsid w:val="00E906CC"/>
    <w:rsid w:val="00E9134F"/>
    <w:rsid w:val="00E939A0"/>
    <w:rsid w:val="00E97E4E"/>
    <w:rsid w:val="00EA0358"/>
    <w:rsid w:val="00EA1CC2"/>
    <w:rsid w:val="00EA2D76"/>
    <w:rsid w:val="00EA4626"/>
    <w:rsid w:val="00EA4644"/>
    <w:rsid w:val="00EA758A"/>
    <w:rsid w:val="00EB096F"/>
    <w:rsid w:val="00EB199F"/>
    <w:rsid w:val="00EB21A4"/>
    <w:rsid w:val="00EB27C4"/>
    <w:rsid w:val="00EB5387"/>
    <w:rsid w:val="00EB57F9"/>
    <w:rsid w:val="00EB5C10"/>
    <w:rsid w:val="00EB7322"/>
    <w:rsid w:val="00EC0FE9"/>
    <w:rsid w:val="00EC198B"/>
    <w:rsid w:val="00EC426D"/>
    <w:rsid w:val="00EC571B"/>
    <w:rsid w:val="00EC57D7"/>
    <w:rsid w:val="00EC6385"/>
    <w:rsid w:val="00ED0032"/>
    <w:rsid w:val="00ED01DE"/>
    <w:rsid w:val="00ED1DE9"/>
    <w:rsid w:val="00ED23D4"/>
    <w:rsid w:val="00ED5E0B"/>
    <w:rsid w:val="00EE37B6"/>
    <w:rsid w:val="00EE4CA3"/>
    <w:rsid w:val="00EE752F"/>
    <w:rsid w:val="00EF0F45"/>
    <w:rsid w:val="00EF7463"/>
    <w:rsid w:val="00EF7971"/>
    <w:rsid w:val="00F002EF"/>
    <w:rsid w:val="00F01EE9"/>
    <w:rsid w:val="00F04900"/>
    <w:rsid w:val="00F065A4"/>
    <w:rsid w:val="00F075B8"/>
    <w:rsid w:val="00F10A5C"/>
    <w:rsid w:val="00F126B9"/>
    <w:rsid w:val="00F12715"/>
    <w:rsid w:val="00F1297A"/>
    <w:rsid w:val="00F144D5"/>
    <w:rsid w:val="00F146F0"/>
    <w:rsid w:val="00F15039"/>
    <w:rsid w:val="00F20FF3"/>
    <w:rsid w:val="00F2190B"/>
    <w:rsid w:val="00F228B5"/>
    <w:rsid w:val="00F2389C"/>
    <w:rsid w:val="00F2597B"/>
    <w:rsid w:val="00F25C67"/>
    <w:rsid w:val="00F30DFF"/>
    <w:rsid w:val="00F32B80"/>
    <w:rsid w:val="00F340EB"/>
    <w:rsid w:val="00F35285"/>
    <w:rsid w:val="00F36BF4"/>
    <w:rsid w:val="00F43B9D"/>
    <w:rsid w:val="00F44D5E"/>
    <w:rsid w:val="00F53A35"/>
    <w:rsid w:val="00F55A3D"/>
    <w:rsid w:val="00F5744B"/>
    <w:rsid w:val="00F61209"/>
    <w:rsid w:val="00F6259E"/>
    <w:rsid w:val="00F65DD4"/>
    <w:rsid w:val="00F66689"/>
    <w:rsid w:val="00F672B2"/>
    <w:rsid w:val="00F71EDE"/>
    <w:rsid w:val="00F80768"/>
    <w:rsid w:val="00F82354"/>
    <w:rsid w:val="00F83973"/>
    <w:rsid w:val="00F87FA3"/>
    <w:rsid w:val="00F909B0"/>
    <w:rsid w:val="00F93D8C"/>
    <w:rsid w:val="00FA3102"/>
    <w:rsid w:val="00FA48D4"/>
    <w:rsid w:val="00FA54FA"/>
    <w:rsid w:val="00FA6D39"/>
    <w:rsid w:val="00FB074D"/>
    <w:rsid w:val="00FB1B24"/>
    <w:rsid w:val="00FB227E"/>
    <w:rsid w:val="00FB3D61"/>
    <w:rsid w:val="00FB44CE"/>
    <w:rsid w:val="00FB5009"/>
    <w:rsid w:val="00FB76AB"/>
    <w:rsid w:val="00FC07BC"/>
    <w:rsid w:val="00FC6C2D"/>
    <w:rsid w:val="00FD03FE"/>
    <w:rsid w:val="00FD126E"/>
    <w:rsid w:val="00FD3C36"/>
    <w:rsid w:val="00FD4D81"/>
    <w:rsid w:val="00FD7498"/>
    <w:rsid w:val="00FD7FB3"/>
    <w:rsid w:val="00FE0118"/>
    <w:rsid w:val="00FE0665"/>
    <w:rsid w:val="00FE4713"/>
    <w:rsid w:val="00FE6BDA"/>
    <w:rsid w:val="00FF174A"/>
    <w:rsid w:val="00FF1F44"/>
    <w:rsid w:val="00FF225E"/>
    <w:rsid w:val="00FF2A0E"/>
    <w:rsid w:val="00FF58C2"/>
    <w:rsid w:val="00FF5A7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74629"/>
  <w15:docId w15:val="{1E8EF907-F81C-4913-8812-3F5E358E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Ttulo1">
    <w:name w:val="heading 1"/>
    <w:basedOn w:val="Normal"/>
    <w:next w:val="Paragraph"/>
    <w:link w:val="Ttulo1Car"/>
    <w:qFormat/>
    <w:rsid w:val="00AE1ED4"/>
    <w:pPr>
      <w:keepNext/>
      <w:spacing w:before="360" w:after="60" w:line="360" w:lineRule="auto"/>
      <w:ind w:right="567"/>
      <w:contextualSpacing/>
      <w:outlineLvl w:val="0"/>
    </w:pPr>
    <w:rPr>
      <w:rFonts w:cs="Arial"/>
      <w:b/>
      <w:bCs/>
      <w:kern w:val="32"/>
      <w:szCs w:val="32"/>
    </w:rPr>
  </w:style>
  <w:style w:type="paragraph" w:styleId="Ttulo2">
    <w:name w:val="heading 2"/>
    <w:basedOn w:val="Normal"/>
    <w:next w:val="Paragraph"/>
    <w:link w:val="Ttulo2Car"/>
    <w:qFormat/>
    <w:rsid w:val="008D07FB"/>
    <w:pPr>
      <w:keepNext/>
      <w:spacing w:before="360" w:after="60" w:line="360" w:lineRule="auto"/>
      <w:ind w:right="567"/>
      <w:contextualSpacing/>
      <w:outlineLvl w:val="1"/>
    </w:pPr>
    <w:rPr>
      <w:rFonts w:cs="Arial"/>
      <w:b/>
      <w:bCs/>
      <w:i/>
      <w:iCs/>
      <w:szCs w:val="28"/>
    </w:rPr>
  </w:style>
  <w:style w:type="paragraph" w:styleId="Ttulo3">
    <w:name w:val="heading 3"/>
    <w:basedOn w:val="Normal"/>
    <w:next w:val="Paragraph"/>
    <w:link w:val="Ttulo3Car"/>
    <w:qFormat/>
    <w:rsid w:val="00DF7EE2"/>
    <w:pPr>
      <w:keepNext/>
      <w:spacing w:before="360" w:after="60" w:line="360" w:lineRule="auto"/>
      <w:ind w:right="567"/>
      <w:contextualSpacing/>
      <w:outlineLvl w:val="2"/>
    </w:pPr>
    <w:rPr>
      <w:rFonts w:cs="Arial"/>
      <w:bCs/>
      <w:i/>
      <w:szCs w:val="26"/>
    </w:rPr>
  </w:style>
  <w:style w:type="paragraph" w:styleId="Ttulo4">
    <w:name w:val="heading 4"/>
    <w:basedOn w:val="Paragraph"/>
    <w:next w:val="Newparagraph"/>
    <w:link w:val="Ttulo4Car"/>
    <w:rsid w:val="00F43B9D"/>
    <w:pPr>
      <w:spacing w:before="360"/>
      <w:outlineLvl w:val="3"/>
    </w:pPr>
    <w:rPr>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Sangranormal">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Ttulo2Car">
    <w:name w:val="Título 2 Car"/>
    <w:basedOn w:val="Fuentedeprrafopredeter"/>
    <w:link w:val="Ttulo2"/>
    <w:rsid w:val="008D07FB"/>
    <w:rPr>
      <w:rFonts w:cs="Arial"/>
      <w:b/>
      <w:bCs/>
      <w:i/>
      <w:iCs/>
      <w:sz w:val="24"/>
      <w:szCs w:val="28"/>
    </w:rPr>
  </w:style>
  <w:style w:type="character" w:customStyle="1" w:styleId="Ttulo1Car">
    <w:name w:val="Título 1 Car"/>
    <w:basedOn w:val="Fuentedeprrafopredeter"/>
    <w:link w:val="Ttulo1"/>
    <w:rsid w:val="00AE1ED4"/>
    <w:rPr>
      <w:rFonts w:cs="Arial"/>
      <w:b/>
      <w:bCs/>
      <w:kern w:val="32"/>
      <w:sz w:val="24"/>
      <w:szCs w:val="32"/>
    </w:rPr>
  </w:style>
  <w:style w:type="character" w:customStyle="1" w:styleId="Ttulo3Car">
    <w:name w:val="Título 3 Car"/>
    <w:basedOn w:val="Fuentedeprrafopredeter"/>
    <w:link w:val="Ttulo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Textonotapie">
    <w:name w:val="footnote text"/>
    <w:basedOn w:val="Normal"/>
    <w:link w:val="TextonotapieCar"/>
    <w:autoRedefine/>
    <w:uiPriority w:val="99"/>
    <w:rsid w:val="006C19B2"/>
    <w:pPr>
      <w:ind w:left="284" w:hanging="284"/>
    </w:pPr>
    <w:rPr>
      <w:sz w:val="22"/>
      <w:szCs w:val="20"/>
    </w:rPr>
  </w:style>
  <w:style w:type="character" w:customStyle="1" w:styleId="TextonotapieCar">
    <w:name w:val="Texto nota pie Car"/>
    <w:basedOn w:val="Fuentedeprrafopredeter"/>
    <w:link w:val="Textonotapie"/>
    <w:uiPriority w:val="99"/>
    <w:rsid w:val="006C19B2"/>
    <w:rPr>
      <w:sz w:val="22"/>
    </w:rPr>
  </w:style>
  <w:style w:type="character" w:styleId="Refdenotaalpie">
    <w:name w:val="footnote reference"/>
    <w:basedOn w:val="Fuentedeprrafopredeter"/>
    <w:uiPriority w:val="99"/>
    <w:rsid w:val="00AF2C92"/>
    <w:rPr>
      <w:vertAlign w:val="superscript"/>
    </w:rPr>
  </w:style>
  <w:style w:type="paragraph" w:styleId="Textonotaalfinal">
    <w:name w:val="endnote text"/>
    <w:basedOn w:val="Normal"/>
    <w:link w:val="TextonotaalfinalCar"/>
    <w:autoRedefine/>
    <w:rsid w:val="006C19B2"/>
    <w:pPr>
      <w:ind w:left="284" w:hanging="284"/>
    </w:pPr>
    <w:rPr>
      <w:sz w:val="22"/>
      <w:szCs w:val="20"/>
    </w:rPr>
  </w:style>
  <w:style w:type="character" w:customStyle="1" w:styleId="TextonotaalfinalCar">
    <w:name w:val="Texto nota al final Car"/>
    <w:basedOn w:val="Fuentedeprrafopredeter"/>
    <w:link w:val="Textonotaalfinal"/>
    <w:rsid w:val="006C19B2"/>
    <w:rPr>
      <w:sz w:val="22"/>
    </w:rPr>
  </w:style>
  <w:style w:type="character" w:styleId="Refdenotaalfinal">
    <w:name w:val="endnote reference"/>
    <w:basedOn w:val="Fuentedeprrafopredeter"/>
    <w:rsid w:val="00EC571B"/>
    <w:rPr>
      <w:vertAlign w:val="superscript"/>
    </w:rPr>
  </w:style>
  <w:style w:type="character" w:customStyle="1" w:styleId="Ttulo4Car">
    <w:name w:val="Título 4 Car"/>
    <w:basedOn w:val="Fuentedeprrafopredeter"/>
    <w:link w:val="Ttulo4"/>
    <w:rsid w:val="00F43B9D"/>
    <w:rPr>
      <w:bCs/>
      <w:sz w:val="24"/>
      <w:szCs w:val="28"/>
    </w:rPr>
  </w:style>
  <w:style w:type="paragraph" w:styleId="Encabezado">
    <w:name w:val="header"/>
    <w:basedOn w:val="Normal"/>
    <w:link w:val="EncabezadoCar"/>
    <w:uiPriority w:val="99"/>
    <w:rsid w:val="003F193A"/>
    <w:pPr>
      <w:tabs>
        <w:tab w:val="center" w:pos="4320"/>
        <w:tab w:val="right" w:pos="8640"/>
      </w:tabs>
      <w:spacing w:after="120" w:line="240" w:lineRule="auto"/>
      <w:contextualSpacing/>
    </w:pPr>
  </w:style>
  <w:style w:type="character" w:customStyle="1" w:styleId="EncabezadoCar">
    <w:name w:val="Encabezado Car"/>
    <w:basedOn w:val="Fuentedeprrafopredeter"/>
    <w:link w:val="Encabezado"/>
    <w:uiPriority w:val="99"/>
    <w:rsid w:val="003F193A"/>
    <w:rPr>
      <w:rFonts w:eastAsia="Times New Roman"/>
      <w:sz w:val="24"/>
      <w:szCs w:val="24"/>
      <w:lang w:eastAsia="en-GB"/>
    </w:rPr>
  </w:style>
  <w:style w:type="paragraph" w:styleId="Piedepgina">
    <w:name w:val="footer"/>
    <w:basedOn w:val="Normal"/>
    <w:link w:val="PiedepginaCar"/>
    <w:uiPriority w:val="99"/>
    <w:rsid w:val="00AE6A21"/>
    <w:pPr>
      <w:tabs>
        <w:tab w:val="center" w:pos="4320"/>
        <w:tab w:val="right" w:pos="8640"/>
      </w:tabs>
      <w:spacing w:before="240" w:line="240" w:lineRule="auto"/>
      <w:contextualSpacing/>
    </w:pPr>
  </w:style>
  <w:style w:type="character" w:customStyle="1" w:styleId="PiedepginaCar">
    <w:name w:val="Pie de página Car"/>
    <w:basedOn w:val="Fuentedeprrafopredeter"/>
    <w:link w:val="Piedepgina"/>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ipervnculo">
    <w:name w:val="Hyperlink"/>
    <w:basedOn w:val="Fuentedeprrafopredeter"/>
    <w:uiPriority w:val="99"/>
    <w:unhideWhenUsed/>
    <w:rsid w:val="00DD7819"/>
    <w:rPr>
      <w:color w:val="0000FF" w:themeColor="hyperlink"/>
      <w:u w:val="single"/>
    </w:rPr>
  </w:style>
  <w:style w:type="paragraph" w:styleId="Textodeglobo">
    <w:name w:val="Balloon Text"/>
    <w:basedOn w:val="Normal"/>
    <w:link w:val="TextodegloboCar"/>
    <w:uiPriority w:val="99"/>
    <w:semiHidden/>
    <w:unhideWhenUsed/>
    <w:rsid w:val="00E13918"/>
    <w:pPr>
      <w:spacing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E13918"/>
    <w:rPr>
      <w:rFonts w:ascii="Segoe UI" w:eastAsiaTheme="minorHAnsi" w:hAnsi="Segoe UI" w:cs="Segoe UI"/>
      <w:sz w:val="18"/>
      <w:szCs w:val="18"/>
      <w:lang w:eastAsia="en-US"/>
    </w:rPr>
  </w:style>
  <w:style w:type="character" w:customStyle="1" w:styleId="Mencinsinresolver1">
    <w:name w:val="Mención sin resolver1"/>
    <w:basedOn w:val="Fuentedeprrafopredeter"/>
    <w:uiPriority w:val="99"/>
    <w:semiHidden/>
    <w:unhideWhenUsed/>
    <w:rsid w:val="0024575D"/>
    <w:rPr>
      <w:color w:val="605E5C"/>
      <w:shd w:val="clear" w:color="auto" w:fill="E1DFDD"/>
    </w:rPr>
  </w:style>
  <w:style w:type="paragraph" w:styleId="Descripcin">
    <w:name w:val="caption"/>
    <w:basedOn w:val="Normal"/>
    <w:next w:val="Normal"/>
    <w:uiPriority w:val="35"/>
    <w:unhideWhenUsed/>
    <w:qFormat/>
    <w:rsid w:val="00ED01DE"/>
    <w:pPr>
      <w:spacing w:after="200" w:line="240" w:lineRule="auto"/>
    </w:pPr>
    <w:rPr>
      <w:rFonts w:asciiTheme="minorHAnsi" w:eastAsiaTheme="minorHAnsi" w:hAnsiTheme="minorHAnsi" w:cstheme="minorHAnsi"/>
      <w:i/>
      <w:iCs/>
      <w:color w:val="1F497D" w:themeColor="text2"/>
      <w:sz w:val="18"/>
      <w:szCs w:val="18"/>
      <w:lang w:val="es-ES" w:eastAsia="en-US"/>
    </w:rPr>
  </w:style>
  <w:style w:type="paragraph" w:styleId="Prrafodelista">
    <w:name w:val="List Paragraph"/>
    <w:basedOn w:val="Normal"/>
    <w:uiPriority w:val="34"/>
    <w:qFormat/>
    <w:rsid w:val="004B67C7"/>
    <w:pPr>
      <w:spacing w:after="160" w:line="259" w:lineRule="auto"/>
      <w:ind w:left="720"/>
      <w:contextualSpacing/>
    </w:pPr>
    <w:rPr>
      <w:rFonts w:asciiTheme="minorHAnsi" w:eastAsiaTheme="minorHAnsi" w:hAnsiTheme="minorHAnsi" w:cstheme="minorBidi"/>
      <w:sz w:val="22"/>
      <w:szCs w:val="22"/>
      <w:lang w:val="es-ES" w:eastAsia="en-US"/>
    </w:rPr>
  </w:style>
  <w:style w:type="character" w:styleId="Refdecomentario">
    <w:name w:val="annotation reference"/>
    <w:basedOn w:val="Fuentedeprrafopredeter"/>
    <w:semiHidden/>
    <w:unhideWhenUsed/>
    <w:rsid w:val="000A469F"/>
    <w:rPr>
      <w:sz w:val="16"/>
      <w:szCs w:val="16"/>
    </w:rPr>
  </w:style>
  <w:style w:type="paragraph" w:styleId="Textocomentario">
    <w:name w:val="annotation text"/>
    <w:basedOn w:val="Normal"/>
    <w:link w:val="TextocomentarioCar"/>
    <w:semiHidden/>
    <w:unhideWhenUsed/>
    <w:rsid w:val="000A469F"/>
    <w:pPr>
      <w:spacing w:line="240" w:lineRule="auto"/>
    </w:pPr>
    <w:rPr>
      <w:sz w:val="20"/>
      <w:szCs w:val="20"/>
    </w:rPr>
  </w:style>
  <w:style w:type="character" w:customStyle="1" w:styleId="TextocomentarioCar">
    <w:name w:val="Texto comentario Car"/>
    <w:basedOn w:val="Fuentedeprrafopredeter"/>
    <w:link w:val="Textocomentario"/>
    <w:semiHidden/>
    <w:rsid w:val="000A469F"/>
  </w:style>
  <w:style w:type="paragraph" w:styleId="Asuntodelcomentario">
    <w:name w:val="annotation subject"/>
    <w:basedOn w:val="Textocomentario"/>
    <w:next w:val="Textocomentario"/>
    <w:link w:val="AsuntodelcomentarioCar"/>
    <w:semiHidden/>
    <w:unhideWhenUsed/>
    <w:rsid w:val="000A469F"/>
    <w:rPr>
      <w:b/>
      <w:bCs/>
    </w:rPr>
  </w:style>
  <w:style w:type="character" w:customStyle="1" w:styleId="AsuntodelcomentarioCar">
    <w:name w:val="Asunto del comentario Car"/>
    <w:basedOn w:val="TextocomentarioCar"/>
    <w:link w:val="Asuntodelcomentario"/>
    <w:semiHidden/>
    <w:rsid w:val="000A469F"/>
    <w:rPr>
      <w:b/>
      <w:bCs/>
    </w:rPr>
  </w:style>
  <w:style w:type="character" w:styleId="Mencinsinresolver">
    <w:name w:val="Unresolved Mention"/>
    <w:basedOn w:val="Fuentedeprrafopredeter"/>
    <w:uiPriority w:val="99"/>
    <w:semiHidden/>
    <w:unhideWhenUsed/>
    <w:rsid w:val="0020095D"/>
    <w:rPr>
      <w:color w:val="605E5C"/>
      <w:shd w:val="clear" w:color="auto" w:fill="E1DFDD"/>
    </w:rPr>
  </w:style>
  <w:style w:type="character" w:customStyle="1" w:styleId="c-bibliographic-informationvalue">
    <w:name w:val="c-bibliographic-information__value"/>
    <w:basedOn w:val="Fuentedeprrafopredeter"/>
    <w:rsid w:val="00D14AED"/>
  </w:style>
  <w:style w:type="character" w:customStyle="1" w:styleId="doilink">
    <w:name w:val="doi_link"/>
    <w:basedOn w:val="Fuentedeprrafopredeter"/>
    <w:rsid w:val="007D2395"/>
  </w:style>
  <w:style w:type="character" w:styleId="Hipervnculovisitado">
    <w:name w:val="FollowedHyperlink"/>
    <w:basedOn w:val="Fuentedeprrafopredeter"/>
    <w:semiHidden/>
    <w:unhideWhenUsed/>
    <w:rsid w:val="00F8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png"/><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F691-8191-4AC7-9D18-DB064F39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5387</Words>
  <Characters>29629</Characters>
  <Application>Microsoft Office Word</Application>
  <DocSecurity>0</DocSecurity>
  <Lines>246</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34947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Administrador</dc:creator>
  <cp:lastModifiedBy>ROBERTO QUESADA PATO</cp:lastModifiedBy>
  <cp:revision>3</cp:revision>
  <cp:lastPrinted>2011-07-22T14:54:00Z</cp:lastPrinted>
  <dcterms:created xsi:type="dcterms:W3CDTF">2022-05-26T17:03:00Z</dcterms:created>
  <dcterms:modified xsi:type="dcterms:W3CDTF">2022-07-04T08:25:00Z</dcterms:modified>
</cp:coreProperties>
</file>